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center"/>
        <w:rPr>
          <w:b/>
          <w:bCs/>
          <w:lang w:val="fr-CH"/>
        </w:rPr>
      </w:pPr>
      <w:bookmarkStart w:id="0" w:name="_GoBack"/>
      <w:bookmarkEnd w:id="0"/>
      <w:r w:rsidRPr="00660FF2">
        <w:rPr>
          <w:b/>
          <w:bCs/>
          <w:lang w:val="ru-RU"/>
        </w:rPr>
        <w:t>Со</w:t>
      </w:r>
      <w:r>
        <w:rPr>
          <w:b/>
          <w:bCs/>
          <w:lang w:val="ru-RU"/>
        </w:rPr>
        <w:t>рок четвертая сессия (1992 год)</w:t>
      </w:r>
    </w:p>
    <w:p w:rsidR="007E4BD5" w:rsidRPr="00660FF2" w:rsidRDefault="007E4BD5" w:rsidP="007E4BD5">
      <w:pPr>
        <w:pStyle w:val="Heading2"/>
        <w:keepNext w:val="0"/>
        <w:tabs>
          <w:tab w:val="left" w:pos="1134"/>
          <w:tab w:val="left" w:pos="1701"/>
        </w:tabs>
        <w:spacing w:before="0" w:after="0" w:line="240" w:lineRule="auto"/>
        <w:jc w:val="center"/>
        <w:rPr>
          <w:b/>
          <w:bCs/>
          <w:u w:val="none"/>
        </w:rPr>
      </w:pPr>
      <w:bookmarkStart w:id="1" w:name="_Toc515683705"/>
      <w:r w:rsidRPr="00660FF2">
        <w:rPr>
          <w:b/>
          <w:bCs/>
          <w:u w:val="none"/>
        </w:rPr>
        <w:t>Замечание общего порядка № 21 - Статья 10 (гуманное обращение с лицами, лишенными свободы</w:t>
      </w:r>
      <w:bookmarkEnd w:id="1"/>
      <w:r w:rsidRPr="00660FF2">
        <w:rPr>
          <w:b/>
          <w:bCs/>
          <w:u w:val="none"/>
        </w:rPr>
        <w:t>)</w:t>
      </w:r>
    </w:p>
    <w:p w:rsidR="007E4BD5" w:rsidRPr="00660FF2" w:rsidRDefault="007E4BD5" w:rsidP="007E4BD5">
      <w:pPr>
        <w:tabs>
          <w:tab w:val="left" w:pos="0"/>
          <w:tab w:val="left" w:pos="566"/>
          <w:tab w:val="left" w:pos="1134"/>
          <w:tab w:val="left" w:pos="1701"/>
          <w:tab w:val="left" w:pos="2280"/>
          <w:tab w:val="left" w:pos="6000"/>
        </w:tabs>
        <w:suppressAutoHyphens/>
        <w:spacing w:line="240" w:lineRule="auto"/>
        <w:rPr>
          <w:b/>
          <w:bCs/>
          <w:lang w:val="ru-RU"/>
        </w:rPr>
      </w:pP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1.</w:t>
      </w:r>
      <w:r w:rsidRPr="00660FF2">
        <w:rPr>
          <w:lang w:val="ru-RU"/>
        </w:rPr>
        <w:tab/>
        <w:t>Настоящее Замечание общего порядка заменяет Замечание общего порядка № 9 (шестнадцатая сессия, 198</w:t>
      </w:r>
      <w:r>
        <w:rPr>
          <w:lang w:val="ru-RU"/>
        </w:rPr>
        <w:t>2 год), отражая и развивая его.</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2.</w:t>
      </w:r>
      <w:r w:rsidRPr="00660FF2">
        <w:rPr>
          <w:lang w:val="ru-RU"/>
        </w:rPr>
        <w:tab/>
        <w:t xml:space="preserve">Пункт 1 статьи 10 Международного пакта о гражданских и политических правах применим в отношении любых лиц, лишенных свободы в соответствии с законами и властью государства, которые содержатся в тюрьмах, больницах </w:t>
      </w:r>
      <w:r w:rsidRPr="00660FF2">
        <w:rPr>
          <w:lang w:val="ru-RU"/>
        </w:rPr>
        <w:noBreakHyphen/>
        <w:t xml:space="preserve"> в частности в психиатрических больницах, </w:t>
      </w:r>
      <w:r w:rsidRPr="00660FF2">
        <w:rPr>
          <w:lang w:val="ru-RU"/>
        </w:rPr>
        <w:noBreakHyphen/>
        <w:t xml:space="preserve"> лагерях для интернированных лиц или исправительных учреждениях или в других местах.  Государства</w:t>
      </w:r>
      <w:r w:rsidRPr="00660FF2">
        <w:rPr>
          <w:lang w:val="ru-RU"/>
        </w:rPr>
        <w:noBreakHyphen/>
        <w:t>участники должны обеспечить соблюдение принципа, закрепленного в указанной статье, во всех учреждениях и организациях в рамках их юрисдикции, где содержатся упомянутые лица.</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3.</w:t>
      </w:r>
      <w:r w:rsidRPr="00660FF2">
        <w:rPr>
          <w:lang w:val="ru-RU"/>
        </w:rPr>
        <w:tab/>
        <w:t>Пункт 1 статьи 10 налагает на государства</w:t>
      </w:r>
      <w:r w:rsidRPr="00660FF2">
        <w:rPr>
          <w:lang w:val="ru-RU"/>
        </w:rPr>
        <w:noBreakHyphen/>
        <w:t>участники позитивное обязательство по отношению к лицам, находящимся в особо уязвимом положении в силу того, что они лишены свободы, и дополняет для них содержащиеся в статье 7 Пакта положения, запрещающие пытки или иное жестокое, бесчеловечное или унижающее достоинство обращение или наказание.  Таким образом, лица, лишенные свободы, не только не могут подвергаться обращению, противоречащему статье 7, включая медицинские или научные опыты, но и не должны испытывать иных лишений или тягот помимо тех, которые являются результатом лишения свободы;  достоинство этих лиц должно уважаться в той же степени, что и достоинство лиц, находящихся на свободе.  Лица, лишенные свободы, пользуются всеми правами, провозглашенными в Пакте, с учетом ограничений,</w:t>
      </w:r>
      <w:r>
        <w:rPr>
          <w:lang w:val="ru-RU"/>
        </w:rPr>
        <w:t xml:space="preserve"> неизбежных для жизни в неволе.</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4.</w:t>
      </w:r>
      <w:r w:rsidRPr="00660FF2">
        <w:rPr>
          <w:lang w:val="ru-RU"/>
        </w:rPr>
        <w:tab/>
        <w:t>Гуманное обращение со всеми лицами, лишенными свободы, при уважении их достоинства, является основополагающим правилом универсального применения.  Поэтому его применение, как минимум, не должно находиться в зависимости от материальных ресурсов, которыми располагает государство</w:t>
      </w:r>
      <w:r w:rsidRPr="00660FF2">
        <w:rPr>
          <w:lang w:val="ru-RU"/>
        </w:rPr>
        <w:noBreakHyphen/>
        <w:t xml:space="preserve">участник.  Это правило должно применяться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w:t>
      </w:r>
      <w:r>
        <w:rPr>
          <w:lang w:val="ru-RU"/>
        </w:rPr>
        <w:t>сословного или иного положения.</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5.</w:t>
      </w:r>
      <w:r w:rsidRPr="00660FF2">
        <w:rPr>
          <w:lang w:val="ru-RU"/>
        </w:rPr>
        <w:tab/>
        <w:t>Государствам</w:t>
      </w:r>
      <w:r w:rsidRPr="00660FF2">
        <w:rPr>
          <w:lang w:val="ru-RU"/>
        </w:rPr>
        <w:noBreakHyphen/>
        <w:t>участникам предлагается указывать в своих докладах, в какой степени они применяют соответствующие установленные Организацией Объединенных Наций нормы, касающиеся обращения с заключенными:  Минимальных стандартных правил обращения с заключенными (1957 год), Свода принципов защиты всех лиц, подвергаемых задержанию или заключению в какой бы то ни было форме (1988 год), Кодекса поведения должностных лиц по поддержанию правопорядка (1978 год) и Принципов медицинской этики, относящихся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w:t>
      </w:r>
      <w:r>
        <w:rPr>
          <w:lang w:val="ru-RU"/>
        </w:rPr>
        <w:t>ращения и наказания (1982 год).</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6.</w:t>
      </w:r>
      <w:r w:rsidRPr="00660FF2">
        <w:rPr>
          <w:lang w:val="ru-RU"/>
        </w:rPr>
        <w:tab/>
        <w:t>Комитет напоминает, что в докладах должна содержаться подробная информация о национальных законодательных и административных положениях, связанных с правом, предусмотренным в пункте 1 статьи 10.  Комитет также считает, что в докладах необходимо точно указывать конкретные меры, принятые компетентными органами для осуществления контроля за применением на практике правил, имеющих отношение к обращению с лицами, лишенными свободы.  Государствам</w:t>
      </w:r>
      <w:r w:rsidRPr="00660FF2">
        <w:rPr>
          <w:lang w:val="ru-RU"/>
        </w:rPr>
        <w:noBreakHyphen/>
        <w:t xml:space="preserve">участникам следует включать в свои доклады информацию, касающуюся системы контроля за пенитенциарными учреждениями, </w:t>
      </w:r>
      <w:r w:rsidRPr="00660FF2">
        <w:rPr>
          <w:lang w:val="ru-RU"/>
        </w:rPr>
        <w:lastRenderedPageBreak/>
        <w:t>конкретных мер по недопущению пыток и жестокого, бесчеловечного или унижающего достоинство обращения, а также средств обеспе</w:t>
      </w:r>
      <w:r>
        <w:rPr>
          <w:lang w:val="ru-RU"/>
        </w:rPr>
        <w:t>чения беспристрастного надзора.</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7.</w:t>
      </w:r>
      <w:r w:rsidRPr="00660FF2">
        <w:rPr>
          <w:lang w:val="ru-RU"/>
        </w:rPr>
        <w:tab/>
        <w:t xml:space="preserve">Кроме того, Комитет напоминает, что в докладах следует указывать, образуют ли различные применяемые положения составную часть обучения и профессиональной подготовки должностных лиц, имеющих власть над лицами, лишенными свободы, и придерживаются ли эти должностные лица неукоснительно указанных положений при осуществлении ими своих обязанностей.  Также было бы целесообразно уточнять, имеют ли задержанные или содержащиеся под стражей лица доступ к этой информации и располагают ли они эффективными средствами правовой защиты, позволяющими им обеспечивать соблюдение этих правил, обращаться с жалобами, если они не соблюдаются, и получать соразмерную </w:t>
      </w:r>
      <w:r>
        <w:rPr>
          <w:lang w:val="ru-RU"/>
        </w:rPr>
        <w:t>компенсацию в случае нарушения.</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8.</w:t>
      </w:r>
      <w:r w:rsidRPr="00660FF2">
        <w:rPr>
          <w:lang w:val="ru-RU"/>
        </w:rPr>
        <w:tab/>
        <w:t>Комитет напоминает, что принцип, изложенный в пункте 1 статьи 10, представляет собой основу для более определенных обязательств государств</w:t>
      </w:r>
      <w:r w:rsidRPr="00660FF2">
        <w:rPr>
          <w:lang w:val="ru-RU"/>
        </w:rPr>
        <w:noBreakHyphen/>
        <w:t>участников в отношении уголовного правосудия, которые закреплены</w:t>
      </w:r>
      <w:r>
        <w:rPr>
          <w:lang w:val="ru-RU"/>
        </w:rPr>
        <w:t xml:space="preserve"> в пунктах 2 и 3 статьи 10.</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9.</w:t>
      </w:r>
      <w:r w:rsidRPr="00660FF2">
        <w:rPr>
          <w:lang w:val="ru-RU"/>
        </w:rPr>
        <w:tab/>
        <w:t>В подпункте а) пункта 2 статьи 10 предусматривается, что обвиняемые в случаях, когда отсутствуют исключительные обстоятельства, помещаются отдельно от осужденных.  Такое отделение требуется для того, чтобы подчеркнуть их статус неосужденных лиц, которые в то же время имеют право считаться невиновными, как об этом говорится в пункте 2 статьи 14.  В докладах государств</w:t>
      </w:r>
      <w:r w:rsidRPr="00660FF2">
        <w:rPr>
          <w:lang w:val="ru-RU"/>
        </w:rPr>
        <w:noBreakHyphen/>
        <w:t>участников следует указывать, каким образом осуществляется отделение обвиняемых от осужденных, и уточнять, в чем состоит отличие режима для обвин</w:t>
      </w:r>
      <w:r>
        <w:rPr>
          <w:lang w:val="ru-RU"/>
        </w:rPr>
        <w:t>яемых от режима для осужденных.</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10.</w:t>
      </w:r>
      <w:r w:rsidRPr="00660FF2">
        <w:rPr>
          <w:lang w:val="ru-RU"/>
        </w:rPr>
        <w:tab/>
        <w:t>Что касается пункта 3 статьи 10, имеющего отношение к осужденным лицам, то Комитет хотел бы получить подробную информацию о функционировании пенитенциарной системы государства</w:t>
      </w:r>
      <w:r w:rsidRPr="00660FF2">
        <w:rPr>
          <w:lang w:val="ru-RU"/>
        </w:rPr>
        <w:noBreakHyphen/>
        <w:t>участника.  Пенитенциарная система не должна носить лишь карательный характер;  в значительной степени она должна стремиться к исправлению и социальной реабилитации заключенного.  Государствам</w:t>
      </w:r>
      <w:r w:rsidRPr="00660FF2">
        <w:rPr>
          <w:lang w:val="ru-RU"/>
        </w:rPr>
        <w:noBreakHyphen/>
        <w:t>участникам предлагается конкретно указать наличие у них системы оказания помощи после освобождения из заключения и представить информацию о том, наско</w:t>
      </w:r>
      <w:r>
        <w:rPr>
          <w:lang w:val="ru-RU"/>
        </w:rPr>
        <w:t>лько успешно она функционирует.</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11.</w:t>
      </w:r>
      <w:r w:rsidRPr="00660FF2">
        <w:rPr>
          <w:lang w:val="ru-RU"/>
        </w:rPr>
        <w:tab/>
        <w:t>В ряде случаев сведения, предоставляемые государством</w:t>
      </w:r>
      <w:r w:rsidRPr="00660FF2">
        <w:rPr>
          <w:lang w:val="ru-RU"/>
        </w:rPr>
        <w:noBreakHyphen/>
        <w:t>участником, не содержат конкретной ссылки ни на законодательные или административные положения, ни на практические меры, направленные на обеспечение перевоспитания осужденных.  Комитет просит представлять ему конкретную информацию о мерах, принимаемых в целях обеспечения обучения, образования, перевоспитания, профессиональной ориентации и подготовки, а также программах трудового воспитания, предназначенных для лиц, содержащихся как в пенитенциа</w:t>
      </w:r>
      <w:r>
        <w:rPr>
          <w:lang w:val="ru-RU"/>
        </w:rPr>
        <w:t>рном учреждении, так и вне его.</w:t>
      </w:r>
    </w:p>
    <w:p w:rsidR="007E4BD5" w:rsidRPr="007156C1" w:rsidRDefault="007E4BD5" w:rsidP="007E4BD5">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12.</w:t>
      </w:r>
      <w:r w:rsidRPr="00660FF2">
        <w:rPr>
          <w:lang w:val="ru-RU"/>
        </w:rPr>
        <w:tab/>
        <w:t>Для того чтобы установить, в полном ли мере соблюдается принцип, закрепленный в пункте 3 статьи 10, Комитет также просит представлять ему информацию о конкретных мерах, применяемых в период задержания, касающихся, например, методов обращения с осужденным в каждом конкретном случае и проведения классификации осужденных, дисциплинарной системы, изоляции в одиночной камере и содержания под стражей в условиях усиленного надзора, а также условий обеспечения осужденному контактов с внешним миром (семьей, адвокатом, социальными и медицинскими службами, непра</w:t>
      </w:r>
      <w:r>
        <w:rPr>
          <w:lang w:val="ru-RU"/>
        </w:rPr>
        <w:t>вительственными организациями).</w:t>
      </w:r>
    </w:p>
    <w:p w:rsidR="007E4BD5" w:rsidRPr="00660FF2" w:rsidRDefault="007E4BD5" w:rsidP="007E4BD5">
      <w:pPr>
        <w:tabs>
          <w:tab w:val="left" w:pos="0"/>
          <w:tab w:val="left" w:pos="566"/>
          <w:tab w:val="left" w:pos="1134"/>
          <w:tab w:val="left" w:pos="1701"/>
          <w:tab w:val="left" w:pos="2280"/>
          <w:tab w:val="left" w:pos="6000"/>
        </w:tabs>
        <w:suppressAutoHyphens/>
        <w:spacing w:line="240" w:lineRule="auto"/>
        <w:jc w:val="both"/>
        <w:rPr>
          <w:lang w:val="ru-RU"/>
        </w:rPr>
      </w:pPr>
      <w:r w:rsidRPr="00660FF2">
        <w:rPr>
          <w:lang w:val="ru-RU"/>
        </w:rPr>
        <w:t>13.</w:t>
      </w:r>
      <w:r w:rsidRPr="00660FF2">
        <w:rPr>
          <w:lang w:val="ru-RU"/>
        </w:rPr>
        <w:tab/>
        <w:t>Кроме того, Комитет отмечает, что в докладах некоторых государств</w:t>
      </w:r>
      <w:r w:rsidRPr="00660FF2">
        <w:rPr>
          <w:lang w:val="ru-RU"/>
        </w:rPr>
        <w:noBreakHyphen/>
        <w:t xml:space="preserve">участников не содержится информации относительно обращения с обвиняемыми несовершеннолетними и несовершеннолетними правонарушителями.  В подпункте b) пункта 2 статьи 10 говорится, что </w:t>
      </w:r>
      <w:r w:rsidRPr="00660FF2">
        <w:rPr>
          <w:lang w:val="ru-RU"/>
        </w:rPr>
        <w:lastRenderedPageBreak/>
        <w:t>обвиняемые несовершеннолетние отделяются от совершеннолетних.  Данные, содержащиеся в докладах, указывают, что некоторые государства не уделяют должного внимания тому, что в данном случае речь идет об обязательном положении Пакта.  В тексте этого подпункта также предусматривается, чтобы дела, касающиеся несовершеннолетних, рассматривались в кратчайшие сроки.  В докладах должны конкретно указываться меры, принимаемые государствами</w:t>
      </w:r>
      <w:r w:rsidRPr="00660FF2">
        <w:rPr>
          <w:lang w:val="ru-RU"/>
        </w:rPr>
        <w:noBreakHyphen/>
        <w:t>участниками для выполнения этого положения.  И наконец, в соответствии с пунктом 3 статьи 10, в целях содействия исправлению и социальному перевоспитанию этих правонарушителей, они должны отделяться от совершеннолетних правонарушителей и им должен предоставляться режим, отвечающий их возрасту, а также соответствующий правовой статус в том, что касается условий содержания под стражей, например сокращенный рабочий день и общение с родственниками.  В статье 10 не указываются какие</w:t>
      </w:r>
      <w:r w:rsidRPr="00660FF2">
        <w:rPr>
          <w:lang w:val="ru-RU"/>
        </w:rPr>
        <w:noBreakHyphen/>
        <w:t>либо пределы возраста несовершеннолетних нарушителей.  Хотя он определяется каждым государством</w:t>
      </w:r>
      <w:r w:rsidRPr="00660FF2">
        <w:rPr>
          <w:lang w:val="ru-RU"/>
        </w:rPr>
        <w:noBreakHyphen/>
      </w:r>
    </w:p>
    <w:p w:rsidR="007E4BD5" w:rsidRPr="00660FF2" w:rsidRDefault="007E4BD5" w:rsidP="007E4BD5">
      <w:pPr>
        <w:tabs>
          <w:tab w:val="left" w:pos="0"/>
          <w:tab w:val="left" w:pos="566"/>
          <w:tab w:val="left" w:pos="1134"/>
          <w:tab w:val="left" w:pos="1701"/>
          <w:tab w:val="left" w:pos="2280"/>
          <w:tab w:val="left" w:pos="6000"/>
        </w:tabs>
        <w:suppressAutoHyphens/>
        <w:spacing w:line="240" w:lineRule="auto"/>
        <w:jc w:val="both"/>
        <w:rPr>
          <w:lang w:val="ru-RU"/>
        </w:rPr>
      </w:pPr>
      <w:r w:rsidRPr="00660FF2">
        <w:rPr>
          <w:lang w:val="ru-RU"/>
        </w:rPr>
        <w:t>участником с учетом соответствующих социальных, культурных и других условий, Комитет считает, что пункт 5 статьи 6 предполагает, что все лица моложе 18 лет считаются несовершеннолетними, по крайней мере в делах, касающихся уголовного правосудия.  Государствам следует представлять соответствующую информацию о возрастных группах лиц, считающихся несовершеннолетними.  В этой связи участникам предлагается указывать, применяют ли они Минимальные стандартные правила Организации Объединенных Наций, касающиеся отправления правосудия в отношении несовершеннолетних, известные как "Пекинские правила" (1987 год).</w:t>
      </w:r>
    </w:p>
    <w:p w:rsidR="00BB0519" w:rsidRPr="004C2168" w:rsidRDefault="00BB0519" w:rsidP="004C2168">
      <w:pPr>
        <w:tabs>
          <w:tab w:val="left" w:pos="0"/>
          <w:tab w:val="left" w:pos="566"/>
          <w:tab w:val="left" w:pos="1134"/>
          <w:tab w:val="left" w:pos="1701"/>
          <w:tab w:val="left" w:pos="2280"/>
          <w:tab w:val="left" w:pos="6000"/>
        </w:tabs>
        <w:suppressAutoHyphens/>
        <w:spacing w:line="240" w:lineRule="auto"/>
        <w:jc w:val="both"/>
        <w:rPr>
          <w:lang w:val="fr-CH"/>
        </w:rPr>
      </w:pPr>
    </w:p>
    <w:sectPr w:rsidR="00BB0519" w:rsidRPr="004C2168" w:rsidSect="007652C3">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9B" w:rsidRDefault="0028769B" w:rsidP="00BB4F05">
      <w:pPr>
        <w:spacing w:after="0" w:line="240" w:lineRule="auto"/>
      </w:pPr>
      <w:r>
        <w:separator/>
      </w:r>
    </w:p>
  </w:endnote>
  <w:endnote w:type="continuationSeparator" w:id="0">
    <w:p w:rsidR="0028769B" w:rsidRDefault="0028769B" w:rsidP="00BB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2" w:rsidRDefault="001B29B2">
    <w:pPr>
      <w:pStyle w:val="Footer"/>
      <w:jc w:val="right"/>
    </w:pPr>
    <w:r>
      <w:fldChar w:fldCharType="begin"/>
    </w:r>
    <w:r>
      <w:instrText xml:space="preserve"> PAGE   \* MERGEFORMAT </w:instrText>
    </w:r>
    <w:r>
      <w:fldChar w:fldCharType="separate"/>
    </w:r>
    <w:r w:rsidR="00D34AF7">
      <w:rPr>
        <w:noProof/>
      </w:rPr>
      <w:t>1</w:t>
    </w:r>
    <w:r>
      <w:rPr>
        <w:noProof/>
      </w:rPr>
      <w:fldChar w:fldCharType="end"/>
    </w:r>
  </w:p>
  <w:p w:rsidR="001B29B2" w:rsidRDefault="001B2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9B" w:rsidRDefault="0028769B" w:rsidP="00BB4F05">
      <w:pPr>
        <w:spacing w:after="0" w:line="240" w:lineRule="auto"/>
      </w:pPr>
      <w:r>
        <w:separator/>
      </w:r>
    </w:p>
  </w:footnote>
  <w:footnote w:type="continuationSeparator" w:id="0">
    <w:p w:rsidR="0028769B" w:rsidRDefault="0028769B" w:rsidP="00BB4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9C6"/>
    <w:rsid w:val="00083181"/>
    <w:rsid w:val="001B29B2"/>
    <w:rsid w:val="001D4138"/>
    <w:rsid w:val="0028769B"/>
    <w:rsid w:val="003203A5"/>
    <w:rsid w:val="00360207"/>
    <w:rsid w:val="00456F32"/>
    <w:rsid w:val="004C2168"/>
    <w:rsid w:val="0058746B"/>
    <w:rsid w:val="005C7C00"/>
    <w:rsid w:val="00731E4C"/>
    <w:rsid w:val="007652C3"/>
    <w:rsid w:val="0076573D"/>
    <w:rsid w:val="007E4BD5"/>
    <w:rsid w:val="008038E6"/>
    <w:rsid w:val="00941445"/>
    <w:rsid w:val="00A00097"/>
    <w:rsid w:val="00A62153"/>
    <w:rsid w:val="00B43935"/>
    <w:rsid w:val="00BB0519"/>
    <w:rsid w:val="00BB4F05"/>
    <w:rsid w:val="00CD10C4"/>
    <w:rsid w:val="00CD20ED"/>
    <w:rsid w:val="00CD4628"/>
    <w:rsid w:val="00D34AF7"/>
    <w:rsid w:val="00E21C31"/>
    <w:rsid w:val="00E22271"/>
    <w:rsid w:val="00E619C6"/>
    <w:rsid w:val="00EC5CFC"/>
    <w:rsid w:val="00F337A2"/>
    <w:rsid w:val="00FE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CN"/>
    </w:rPr>
  </w:style>
  <w:style w:type="paragraph" w:styleId="Heading2">
    <w:name w:val="heading 2"/>
    <w:basedOn w:val="Normal"/>
    <w:next w:val="Normal"/>
    <w:link w:val="Heading2Char"/>
    <w:qFormat/>
    <w:rsid w:val="00E619C6"/>
    <w:pPr>
      <w:keepNext/>
      <w:tabs>
        <w:tab w:val="left" w:pos="567"/>
        <w:tab w:val="left" w:pos="1134"/>
        <w:tab w:val="left" w:pos="1701"/>
        <w:tab w:val="left" w:pos="2268"/>
        <w:tab w:val="left" w:pos="6237"/>
      </w:tabs>
      <w:spacing w:before="240" w:after="60" w:line="288" w:lineRule="auto"/>
      <w:outlineLvl w:val="1"/>
    </w:pPr>
    <w:rPr>
      <w:rFonts w:ascii="Times New Roman" w:eastAsia="Times New Roman" w:hAnsi="Times New Roman" w:cs="Times New Roman"/>
      <w:sz w:val="24"/>
      <w:szCs w:val="20"/>
      <w:u w:val="single"/>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619C6"/>
    <w:rPr>
      <w:rFonts w:ascii="Times New Roman" w:eastAsia="Times New Roman" w:hAnsi="Times New Roman" w:cs="Times New Roman"/>
      <w:sz w:val="24"/>
      <w:u w:val="single"/>
      <w:lang w:val="ru-RU" w:eastAsia="en-US"/>
    </w:rPr>
  </w:style>
  <w:style w:type="paragraph" w:styleId="Header">
    <w:name w:val="header"/>
    <w:basedOn w:val="Normal"/>
    <w:link w:val="HeaderChar"/>
    <w:uiPriority w:val="99"/>
    <w:unhideWhenUsed/>
    <w:rsid w:val="00BB4F05"/>
    <w:pPr>
      <w:tabs>
        <w:tab w:val="center" w:pos="4513"/>
        <w:tab w:val="right" w:pos="9026"/>
      </w:tabs>
    </w:pPr>
  </w:style>
  <w:style w:type="character" w:customStyle="1" w:styleId="HeaderChar">
    <w:name w:val="Header Char"/>
    <w:link w:val="Header"/>
    <w:uiPriority w:val="99"/>
    <w:rsid w:val="00BB4F05"/>
    <w:rPr>
      <w:sz w:val="22"/>
      <w:szCs w:val="22"/>
    </w:rPr>
  </w:style>
  <w:style w:type="paragraph" w:styleId="Footer">
    <w:name w:val="footer"/>
    <w:basedOn w:val="Normal"/>
    <w:link w:val="FooterChar"/>
    <w:uiPriority w:val="99"/>
    <w:unhideWhenUsed/>
    <w:rsid w:val="00BB4F05"/>
    <w:pPr>
      <w:tabs>
        <w:tab w:val="center" w:pos="4513"/>
        <w:tab w:val="right" w:pos="9026"/>
      </w:tabs>
    </w:pPr>
  </w:style>
  <w:style w:type="character" w:customStyle="1" w:styleId="FooterChar">
    <w:name w:val="Footer Char"/>
    <w:link w:val="Footer"/>
    <w:uiPriority w:val="99"/>
    <w:rsid w:val="00BB4F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B1B6A-80AB-45CC-AADF-43120440EA1E}">
  <ds:schemaRefs>
    <ds:schemaRef ds:uri="http://schemas.microsoft.com/sharepoint/v3/contenttype/forms"/>
  </ds:schemaRefs>
</ds:datastoreItem>
</file>

<file path=customXml/itemProps2.xml><?xml version="1.0" encoding="utf-8"?>
<ds:datastoreItem xmlns:ds="http://schemas.openxmlformats.org/officeDocument/2006/customXml" ds:itemID="{A8DDC076-9471-45D4-A297-1C8A2202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5EB0E-CCA2-425F-B4F7-46784F952ACE}">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 Intern OHCHR</dc:creator>
  <cp:lastModifiedBy>Leila Duisekova</cp:lastModifiedBy>
  <cp:revision>2</cp:revision>
  <dcterms:created xsi:type="dcterms:W3CDTF">2015-09-08T13:10:00Z</dcterms:created>
  <dcterms:modified xsi:type="dcterms:W3CDTF">2015-09-08T13:10:00Z</dcterms:modified>
</cp:coreProperties>
</file>