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71" w:rsidRPr="007156C1" w:rsidRDefault="00E22271" w:rsidP="00E22271">
      <w:pPr>
        <w:tabs>
          <w:tab w:val="left" w:pos="0"/>
          <w:tab w:val="left" w:pos="566"/>
          <w:tab w:val="left" w:pos="1134"/>
          <w:tab w:val="left" w:pos="1701"/>
          <w:tab w:val="left" w:pos="2280"/>
          <w:tab w:val="left" w:pos="6000"/>
        </w:tabs>
        <w:suppressAutoHyphens/>
        <w:spacing w:line="240" w:lineRule="auto"/>
        <w:jc w:val="center"/>
        <w:rPr>
          <w:b/>
          <w:bCs/>
          <w:lang w:val="fr-CH"/>
        </w:rPr>
      </w:pPr>
      <w:bookmarkStart w:id="0" w:name="_GoBack"/>
      <w:bookmarkEnd w:id="0"/>
      <w:r w:rsidRPr="00660FF2">
        <w:rPr>
          <w:b/>
          <w:bCs/>
          <w:lang w:val="ru-RU"/>
        </w:rPr>
        <w:t>Со</w:t>
      </w:r>
      <w:r>
        <w:rPr>
          <w:b/>
          <w:bCs/>
          <w:lang w:val="ru-RU"/>
        </w:rPr>
        <w:t>рок четвертая сессия (1992 год)</w:t>
      </w:r>
    </w:p>
    <w:p w:rsidR="00E22271" w:rsidRPr="007156C1" w:rsidRDefault="00E22271" w:rsidP="00E22271">
      <w:pPr>
        <w:tabs>
          <w:tab w:val="left" w:pos="0"/>
          <w:tab w:val="left" w:pos="566"/>
          <w:tab w:val="left" w:pos="1134"/>
          <w:tab w:val="left" w:pos="1701"/>
          <w:tab w:val="left" w:pos="2280"/>
          <w:tab w:val="left" w:pos="6000"/>
        </w:tabs>
        <w:suppressAutoHyphens/>
        <w:spacing w:after="100" w:afterAutospacing="1" w:line="240" w:lineRule="auto"/>
        <w:jc w:val="center"/>
        <w:rPr>
          <w:b/>
          <w:bCs/>
          <w:lang w:val="fr-CH"/>
        </w:rPr>
      </w:pPr>
      <w:r w:rsidRPr="00660FF2">
        <w:rPr>
          <w:b/>
          <w:bCs/>
          <w:lang w:val="ru-RU"/>
        </w:rPr>
        <w:t xml:space="preserve">Замечание общего порядка № 20 - Статья 7 (запрещение пыток или жестокого, бесчеловечного или унижающего достоинство обращения </w:t>
      </w:r>
      <w:r>
        <w:rPr>
          <w:b/>
          <w:bCs/>
          <w:lang w:val="ru-RU"/>
        </w:rPr>
        <w:t>и наказания)</w:t>
      </w:r>
    </w:p>
    <w:p w:rsidR="00E22271" w:rsidRPr="007156C1" w:rsidRDefault="00E22271" w:rsidP="00E22271">
      <w:pPr>
        <w:tabs>
          <w:tab w:val="left" w:pos="0"/>
          <w:tab w:val="left" w:pos="566"/>
          <w:tab w:val="left" w:pos="1134"/>
          <w:tab w:val="left" w:pos="1701"/>
          <w:tab w:val="left" w:pos="2280"/>
          <w:tab w:val="left" w:pos="6000"/>
        </w:tabs>
        <w:suppressAutoHyphens/>
        <w:spacing w:line="240" w:lineRule="auto"/>
        <w:jc w:val="both"/>
        <w:rPr>
          <w:lang w:val="fr-CH"/>
        </w:rPr>
      </w:pPr>
      <w:r w:rsidRPr="00660FF2">
        <w:rPr>
          <w:lang w:val="ru-RU"/>
        </w:rPr>
        <w:t>1.</w:t>
      </w:r>
      <w:r w:rsidRPr="00660FF2">
        <w:rPr>
          <w:lang w:val="ru-RU"/>
        </w:rPr>
        <w:tab/>
        <w:t>Настоящее Замечание общего порядка заменяет Замечание общего порядка № 7 (шестнадцатая сессия, 1982 год), отражая содерж</w:t>
      </w:r>
      <w:r>
        <w:rPr>
          <w:lang w:val="ru-RU"/>
        </w:rPr>
        <w:t>ание последнего и развивая его.</w:t>
      </w:r>
    </w:p>
    <w:p w:rsidR="00E22271" w:rsidRPr="007156C1" w:rsidRDefault="00E22271" w:rsidP="00E22271">
      <w:pPr>
        <w:tabs>
          <w:tab w:val="left" w:pos="0"/>
          <w:tab w:val="left" w:pos="566"/>
          <w:tab w:val="left" w:pos="1134"/>
          <w:tab w:val="left" w:pos="1701"/>
          <w:tab w:val="left" w:pos="2280"/>
          <w:tab w:val="left" w:pos="6000"/>
        </w:tabs>
        <w:suppressAutoHyphens/>
        <w:spacing w:line="240" w:lineRule="auto"/>
        <w:jc w:val="both"/>
        <w:rPr>
          <w:lang w:val="fr-CH"/>
        </w:rPr>
      </w:pPr>
      <w:r w:rsidRPr="00660FF2">
        <w:rPr>
          <w:lang w:val="ru-RU"/>
        </w:rPr>
        <w:t>2.</w:t>
      </w:r>
      <w:r w:rsidRPr="00660FF2">
        <w:rPr>
          <w:lang w:val="ru-RU"/>
        </w:rPr>
        <w:tab/>
        <w:t>Цель положений статьи 7 Международного пакта о гражданских и политических правах заключается как в защите достоинства, так и в обеспечении физической и психической неприкосновенности личности.  Государство</w:t>
      </w:r>
      <w:r w:rsidRPr="00660FF2">
        <w:rPr>
          <w:lang w:val="ru-RU"/>
        </w:rPr>
        <w:noBreakHyphen/>
        <w:t>участник обязано путем принятия законодательных и других необходимых мер обеспечивать защиту любого лица от действий, запрещенных в статье 7, независимо от того, совершаются ли эти действия лицами, действующими в рамках своих официальных полномочий, вне рамок этих полномочий или в личном качестве.  Содержащееся в статье 7 запрещение дополняется позитивными требованиями пункта 1 статьи 10 Пакта, в котором предусматривается, что "все лица, лишенные свободы, имеют право на гуманное обращение и уважение достоинства, присущего человеческой личности".</w:t>
      </w:r>
    </w:p>
    <w:p w:rsidR="00E22271" w:rsidRPr="007156C1" w:rsidRDefault="00E22271" w:rsidP="00E22271">
      <w:pPr>
        <w:tabs>
          <w:tab w:val="left" w:pos="0"/>
          <w:tab w:val="left" w:pos="566"/>
          <w:tab w:val="left" w:pos="1134"/>
          <w:tab w:val="left" w:pos="1701"/>
          <w:tab w:val="left" w:pos="2280"/>
          <w:tab w:val="left" w:pos="6000"/>
        </w:tabs>
        <w:suppressAutoHyphens/>
        <w:spacing w:line="240" w:lineRule="auto"/>
        <w:jc w:val="both"/>
        <w:rPr>
          <w:lang w:val="fr-CH"/>
        </w:rPr>
      </w:pPr>
      <w:r w:rsidRPr="00660FF2">
        <w:rPr>
          <w:lang w:val="ru-RU"/>
        </w:rPr>
        <w:t>3.</w:t>
      </w:r>
      <w:r w:rsidRPr="00660FF2">
        <w:rPr>
          <w:lang w:val="ru-RU"/>
        </w:rPr>
        <w:tab/>
        <w:t>Текст статьи 7 не допускает никаких ограничений.  Комитет также подтверждает, что даже в случаях чрезвычайного положения, о которых говорится в статье 4 Пакта, никаких отступлений от положений статьи 7 не допускается, и положения этой статьи должны оставаться в силе.  Аналогичным образом Комитет отмечает, что никакие оправдания или смягчающие обстоятельства не могут приводиться в качестве основания для нарушения статьи 7 по любым причинам, включая приказ вышестоящего должностного лица или</w:t>
      </w:r>
      <w:r>
        <w:rPr>
          <w:lang w:val="ru-RU"/>
        </w:rPr>
        <w:t xml:space="preserve"> органа государственной власти.</w:t>
      </w:r>
    </w:p>
    <w:p w:rsidR="00E22271" w:rsidRPr="007156C1" w:rsidRDefault="00E22271" w:rsidP="00E22271">
      <w:pPr>
        <w:tabs>
          <w:tab w:val="left" w:pos="0"/>
          <w:tab w:val="left" w:pos="566"/>
          <w:tab w:val="left" w:pos="1134"/>
          <w:tab w:val="left" w:pos="1701"/>
          <w:tab w:val="left" w:pos="2280"/>
          <w:tab w:val="left" w:pos="6000"/>
        </w:tabs>
        <w:suppressAutoHyphens/>
        <w:spacing w:line="240" w:lineRule="auto"/>
        <w:jc w:val="both"/>
        <w:rPr>
          <w:lang w:val="fr-CH"/>
        </w:rPr>
      </w:pPr>
      <w:r w:rsidRPr="00660FF2">
        <w:rPr>
          <w:lang w:val="ru-RU"/>
        </w:rPr>
        <w:t>4.</w:t>
      </w:r>
      <w:r w:rsidRPr="00660FF2">
        <w:rPr>
          <w:lang w:val="ru-RU"/>
        </w:rPr>
        <w:tab/>
        <w:t>В Пакте не содержится какого</w:t>
      </w:r>
      <w:r w:rsidRPr="00660FF2">
        <w:rPr>
          <w:lang w:val="ru-RU"/>
        </w:rPr>
        <w:noBreakHyphen/>
        <w:t>либо определения понятий, охватываемых статьей 7, и Комитет не считает необходимым разрабатывать перечень запрещенных действий или устанавливать четкие разграничения между различными формами наказания или обращения;  эти разграничения зависят от характера, цели и жес</w:t>
      </w:r>
      <w:r>
        <w:rPr>
          <w:lang w:val="ru-RU"/>
        </w:rPr>
        <w:t>токости применяемого обращения.</w:t>
      </w:r>
    </w:p>
    <w:p w:rsidR="00E22271" w:rsidRPr="007156C1" w:rsidRDefault="00E22271" w:rsidP="00E22271">
      <w:pPr>
        <w:tabs>
          <w:tab w:val="left" w:pos="0"/>
          <w:tab w:val="left" w:pos="566"/>
          <w:tab w:val="left" w:pos="1134"/>
          <w:tab w:val="left" w:pos="1701"/>
          <w:tab w:val="left" w:pos="2280"/>
          <w:tab w:val="left" w:pos="6000"/>
        </w:tabs>
        <w:suppressAutoHyphens/>
        <w:spacing w:line="240" w:lineRule="auto"/>
        <w:jc w:val="both"/>
        <w:rPr>
          <w:lang w:val="fr-CH"/>
        </w:rPr>
      </w:pPr>
      <w:r w:rsidRPr="00660FF2">
        <w:rPr>
          <w:lang w:val="ru-RU"/>
        </w:rPr>
        <w:t>5.</w:t>
      </w:r>
      <w:r w:rsidRPr="00660FF2">
        <w:rPr>
          <w:lang w:val="ru-RU"/>
        </w:rPr>
        <w:tab/>
        <w:t>Предусмотренное статьей 7 запрещение касается не только действий, причиняющих жертве физическую боль, но и действий, вызывающих психические страдания.  Кроме того, по мнению Комитета, это запрещение должно распространяться и на телесные наказания, включая чрезмерную порку, назначаемую в качестве наказания за преступление или в качестве воспитательной или дисциплинарной меры.  В этом отношении следует подчеркнуть, что статья 7 защищает, в частности, детей, учащихся и пациентов в учебных заведе</w:t>
      </w:r>
      <w:r>
        <w:rPr>
          <w:lang w:val="ru-RU"/>
        </w:rPr>
        <w:t>ниях и медицинских учреждениях.</w:t>
      </w:r>
    </w:p>
    <w:p w:rsidR="00E22271" w:rsidRPr="007156C1" w:rsidRDefault="00E22271" w:rsidP="00E22271">
      <w:pPr>
        <w:tabs>
          <w:tab w:val="left" w:pos="0"/>
          <w:tab w:val="left" w:pos="566"/>
          <w:tab w:val="left" w:pos="1134"/>
          <w:tab w:val="left" w:pos="1701"/>
          <w:tab w:val="left" w:pos="2280"/>
          <w:tab w:val="left" w:pos="6000"/>
        </w:tabs>
        <w:suppressAutoHyphens/>
        <w:spacing w:line="240" w:lineRule="auto"/>
        <w:jc w:val="both"/>
        <w:rPr>
          <w:lang w:val="fr-CH"/>
        </w:rPr>
      </w:pPr>
      <w:r w:rsidRPr="00660FF2">
        <w:rPr>
          <w:lang w:val="ru-RU"/>
        </w:rPr>
        <w:t>6.</w:t>
      </w:r>
      <w:r w:rsidRPr="00660FF2">
        <w:rPr>
          <w:lang w:val="ru-RU"/>
        </w:rPr>
        <w:tab/>
        <w:t>Комитет отмечает, что продолжительное одиночное заключение содержащегося под стражей или лишенного свободы лица может приравниваться к актам, запрещенным статьей 7.  Как было указано Комитетом в его замечании общего порядка 6 (16), в статье 6 Пакта в общем говорится об отмене смертной казни в выражениях, которые явно подразумевают, что такая отмена является желательной.  Кроме того, когда какое</w:t>
      </w:r>
      <w:r w:rsidRPr="00660FF2">
        <w:rPr>
          <w:lang w:val="ru-RU"/>
        </w:rPr>
        <w:noBreakHyphen/>
        <w:t>либо государство</w:t>
      </w:r>
      <w:r w:rsidRPr="00660FF2">
        <w:rPr>
          <w:lang w:val="ru-RU"/>
        </w:rPr>
        <w:noBreakHyphen/>
        <w:t>участник применяет смертную казнь за самые тяжкие преступления, она не только должна строго ограничиваться в соответствии со статьей 6, но и должна приводиться в исполнение таким образом, чтобы причинять как можно меньше физи</w:t>
      </w:r>
      <w:r>
        <w:rPr>
          <w:lang w:val="ru-RU"/>
        </w:rPr>
        <w:t>ческих и психических страданий.</w:t>
      </w:r>
    </w:p>
    <w:p w:rsidR="00E22271" w:rsidRPr="007156C1" w:rsidRDefault="00E22271" w:rsidP="00E22271">
      <w:pPr>
        <w:tabs>
          <w:tab w:val="left" w:pos="0"/>
          <w:tab w:val="left" w:pos="566"/>
          <w:tab w:val="left" w:pos="1134"/>
          <w:tab w:val="left" w:pos="1701"/>
          <w:tab w:val="left" w:pos="2280"/>
          <w:tab w:val="left" w:pos="6000"/>
        </w:tabs>
        <w:suppressAutoHyphens/>
        <w:spacing w:line="240" w:lineRule="auto"/>
        <w:jc w:val="both"/>
        <w:rPr>
          <w:lang w:val="fr-CH"/>
        </w:rPr>
      </w:pPr>
      <w:r w:rsidRPr="00660FF2">
        <w:rPr>
          <w:lang w:val="ru-RU"/>
        </w:rPr>
        <w:t>7.</w:t>
      </w:r>
      <w:r w:rsidRPr="00660FF2">
        <w:rPr>
          <w:lang w:val="ru-RU"/>
        </w:rPr>
        <w:tab/>
        <w:t>В статье 7 содержится однозначное запрещение проведения медицинских или научных опытов без свободного согласия соответствующего лица.  Комитет отмечает, что в докладах государств</w:t>
      </w:r>
      <w:r w:rsidRPr="00660FF2">
        <w:rPr>
          <w:lang w:val="ru-RU"/>
        </w:rPr>
        <w:noBreakHyphen/>
        <w:t xml:space="preserve">участников обычно содержится мало информации по этому вопросу.  Следует уделять больше внимания необходимости и путям обеспечения соблюдения данного </w:t>
      </w:r>
      <w:r w:rsidRPr="00660FF2">
        <w:rPr>
          <w:lang w:val="ru-RU"/>
        </w:rPr>
        <w:lastRenderedPageBreak/>
        <w:t>положения.  Комитет также отмечает, что особую защиту в связи с проведением таких опытов следует обеспечить для лиц, не способных давать предусмотренное законом согласие, в частности, лиц, которые подвергаются какой</w:t>
      </w:r>
      <w:r w:rsidRPr="00660FF2">
        <w:rPr>
          <w:lang w:val="ru-RU"/>
        </w:rPr>
        <w:noBreakHyphen/>
        <w:t>либо форме содержания под стражей или лишения свободы.  Эти лица не должны являться объектом медицинских или научных опытов, которые мо</w:t>
      </w:r>
      <w:r>
        <w:rPr>
          <w:lang w:val="ru-RU"/>
        </w:rPr>
        <w:t>гут причинить вред их здоровью.</w:t>
      </w:r>
    </w:p>
    <w:p w:rsidR="00E22271" w:rsidRPr="007156C1" w:rsidRDefault="00E22271" w:rsidP="00E22271">
      <w:pPr>
        <w:tabs>
          <w:tab w:val="left" w:pos="0"/>
          <w:tab w:val="left" w:pos="566"/>
          <w:tab w:val="left" w:pos="1134"/>
          <w:tab w:val="left" w:pos="1701"/>
          <w:tab w:val="left" w:pos="2280"/>
          <w:tab w:val="left" w:pos="6000"/>
        </w:tabs>
        <w:suppressAutoHyphens/>
        <w:spacing w:line="240" w:lineRule="auto"/>
        <w:jc w:val="both"/>
        <w:rPr>
          <w:lang w:val="fr-CH"/>
        </w:rPr>
      </w:pPr>
      <w:r w:rsidRPr="00660FF2">
        <w:rPr>
          <w:lang w:val="ru-RU"/>
        </w:rPr>
        <w:t>8.</w:t>
      </w:r>
      <w:r w:rsidRPr="00660FF2">
        <w:rPr>
          <w:lang w:val="ru-RU"/>
        </w:rPr>
        <w:tab/>
        <w:t>Комитет отмечает, что для осуществления статьи 7 недостаточно запретить такое обращение или наказание либо квалифицировать их в качестве преступления.  Государствам</w:t>
      </w:r>
      <w:r w:rsidRPr="00660FF2">
        <w:rPr>
          <w:lang w:val="ru-RU"/>
        </w:rPr>
        <w:noBreakHyphen/>
        <w:t xml:space="preserve">участникам следует информировать Комитет о законодательных, административных, судебных и прочих мерах, принимаемых ими с целью предупреждения актов пыток и жестоких, бесчеловечных или унижающих достоинство видов обращения на любой территории, находящейся под их юрисдикцией, а </w:t>
      </w:r>
      <w:r>
        <w:rPr>
          <w:lang w:val="ru-RU"/>
        </w:rPr>
        <w:t>также с целью наказания за них.</w:t>
      </w:r>
    </w:p>
    <w:p w:rsidR="00E22271" w:rsidRPr="007156C1" w:rsidRDefault="00E22271" w:rsidP="00E22271">
      <w:pPr>
        <w:tabs>
          <w:tab w:val="left" w:pos="0"/>
          <w:tab w:val="left" w:pos="566"/>
          <w:tab w:val="left" w:pos="1134"/>
          <w:tab w:val="left" w:pos="1701"/>
          <w:tab w:val="left" w:pos="2280"/>
          <w:tab w:val="left" w:pos="6000"/>
        </w:tabs>
        <w:suppressAutoHyphens/>
        <w:spacing w:line="240" w:lineRule="auto"/>
        <w:jc w:val="both"/>
        <w:rPr>
          <w:lang w:val="fr-CH"/>
        </w:rPr>
      </w:pPr>
      <w:r w:rsidRPr="00660FF2">
        <w:rPr>
          <w:lang w:val="ru-RU"/>
        </w:rPr>
        <w:t>9.</w:t>
      </w:r>
      <w:r w:rsidRPr="00660FF2">
        <w:rPr>
          <w:lang w:val="ru-RU"/>
        </w:rPr>
        <w:tab/>
        <w:t>По мнению Комитета, государства</w:t>
      </w:r>
      <w:r w:rsidRPr="00660FF2">
        <w:rPr>
          <w:lang w:val="ru-RU"/>
        </w:rPr>
        <w:noBreakHyphen/>
        <w:t>участники не должны подвергать лиц опасности применения пыток или жестоких, бесчеловечных или унижающих достоинство видов обращения или наказания по их возвращении в другую страну посредством выдачи, высылки или возвращения (rеfоulеmеnt).  В своих докладах государствам</w:t>
      </w:r>
      <w:r w:rsidRPr="00660FF2">
        <w:rPr>
          <w:lang w:val="ru-RU"/>
        </w:rPr>
        <w:noBreakHyphen/>
        <w:t>участникам следует указывать, какие меры приняты с</w:t>
      </w:r>
      <w:r>
        <w:rPr>
          <w:lang w:val="ru-RU"/>
        </w:rPr>
        <w:t xml:space="preserve"> этой целью.</w:t>
      </w:r>
    </w:p>
    <w:p w:rsidR="00E22271" w:rsidRPr="007156C1" w:rsidRDefault="00E22271" w:rsidP="00E22271">
      <w:pPr>
        <w:tabs>
          <w:tab w:val="left" w:pos="0"/>
          <w:tab w:val="left" w:pos="566"/>
          <w:tab w:val="left" w:pos="1134"/>
          <w:tab w:val="left" w:pos="1701"/>
          <w:tab w:val="left" w:pos="2280"/>
          <w:tab w:val="left" w:pos="6000"/>
        </w:tabs>
        <w:suppressAutoHyphens/>
        <w:spacing w:line="240" w:lineRule="auto"/>
        <w:jc w:val="both"/>
        <w:rPr>
          <w:lang w:val="fr-CH"/>
        </w:rPr>
      </w:pPr>
      <w:r w:rsidRPr="00660FF2">
        <w:rPr>
          <w:lang w:val="ru-RU"/>
        </w:rPr>
        <w:t>10.</w:t>
      </w:r>
      <w:r w:rsidRPr="00660FF2">
        <w:rPr>
          <w:lang w:val="ru-RU"/>
        </w:rPr>
        <w:tab/>
        <w:t>Комитет следует информировать о том, как государства</w:t>
      </w:r>
      <w:r w:rsidRPr="00660FF2">
        <w:rPr>
          <w:lang w:val="ru-RU"/>
        </w:rPr>
        <w:noBreakHyphen/>
        <w:t>участники распространяют среди широких слоев населения соответствующую информацию о запрещении пыток и определенных видов обращения в соответствии со статьей 7.  Сотрудники правоохранительных органов, медицинский персонал, сотрудники полиции и любые другие лица, имеющие отношение к содержанию под стражей любого лица, подвергнутого аресту, задержанию или лишению свободы в какой бы то ни было форме или к обращению с ним, должны пройти соответствующий инструктаж и получить надлежащую подготовку.  Государствам</w:t>
      </w:r>
      <w:r w:rsidRPr="00660FF2">
        <w:rPr>
          <w:lang w:val="ru-RU"/>
        </w:rPr>
        <w:noBreakHyphen/>
        <w:t>участникам следует информировать Комитет о проведенных инструктаже и подготовке и о том, является ли содержащееся в статье 7 запрещение составной частью положений о функциональных обязанностях таких лиц и этических норм, кот</w:t>
      </w:r>
      <w:r>
        <w:rPr>
          <w:lang w:val="ru-RU"/>
        </w:rPr>
        <w:t>орых они должны придерживаться.</w:t>
      </w:r>
    </w:p>
    <w:p w:rsidR="00E22271" w:rsidRPr="007156C1" w:rsidRDefault="00E22271" w:rsidP="00E22271">
      <w:pPr>
        <w:tabs>
          <w:tab w:val="left" w:pos="0"/>
          <w:tab w:val="left" w:pos="566"/>
          <w:tab w:val="left" w:pos="1134"/>
          <w:tab w:val="left" w:pos="1701"/>
          <w:tab w:val="left" w:pos="2280"/>
          <w:tab w:val="left" w:pos="6000"/>
        </w:tabs>
        <w:suppressAutoHyphens/>
        <w:spacing w:line="240" w:lineRule="auto"/>
        <w:jc w:val="both"/>
        <w:rPr>
          <w:lang w:val="fr-CH"/>
        </w:rPr>
      </w:pPr>
      <w:r w:rsidRPr="00660FF2">
        <w:rPr>
          <w:lang w:val="ru-RU"/>
        </w:rPr>
        <w:t>11.</w:t>
      </w:r>
      <w:r w:rsidRPr="00660FF2">
        <w:rPr>
          <w:lang w:val="ru-RU"/>
        </w:rPr>
        <w:tab/>
        <w:t>Помимо описания мер, обеспечивающих общую защиту от действий, запрещенных статьей 7, на что имеет право каждый, государствам</w:t>
      </w:r>
      <w:r w:rsidRPr="00660FF2">
        <w:rPr>
          <w:lang w:val="ru-RU"/>
        </w:rPr>
        <w:noBreakHyphen/>
        <w:t>участникам следует представлять подробную информацию о гарантиях специальной защиты для особенно уязвимых лиц.  Следует отметить, что систематический контроль за соблюдением правил, инструкций, методов и практики проведения допросов, а также положений, касающихся содержания под стражей лиц, подвергаемых аресту, задержанию или лишению свободы в какой бы то ни было форме, и обращения с ними, представляет собой эффективное средство недопущения пыток и плохого обращения.  Для обеспечения эффективной защиты содержащихся под стражей лиц необходимо принимать меры к тому, чтобы они содержались в местах, официально признанных в качестве мест содержания под стражей, а их фамилии и места содержания под стражей, равно как и фамилии лиц, ответственных за их содержание под стражей,  указывались в реестре, доступном для заинтересованных лиц, в том числе для родственников и друзей.  В этих же целях должно фиксироваться время и место проведения всех допросов, а  также фамилии всех присутствующих там лиц, и эта информация также должна быть доступной для целей судебного и административного разбирательства.  Следует также принимать меры в целях запрещения содержания под стражей без права переписки и общения.  В этой связи государства</w:t>
      </w:r>
      <w:r w:rsidRPr="00660FF2">
        <w:rPr>
          <w:lang w:val="ru-RU"/>
        </w:rPr>
        <w:noBreakHyphen/>
        <w:t>участники должны обеспечить, чтобы во всех местах задержания не устанавливалось какого</w:t>
      </w:r>
      <w:r w:rsidRPr="00660FF2">
        <w:rPr>
          <w:lang w:val="ru-RU"/>
        </w:rPr>
        <w:noBreakHyphen/>
        <w:t xml:space="preserve">либо оборудования, которое можно было бы использовать для пыток или плохого обращения.  Защита содержащегося под стражей лица предполагает также обеспечение своевременного и регулярного доступа к врачам и адвокатами, под надлежащим контролем, если того требуют интересы </w:t>
      </w:r>
      <w:r>
        <w:rPr>
          <w:lang w:val="ru-RU"/>
        </w:rPr>
        <w:t>следствия, к членам семьи.</w:t>
      </w:r>
    </w:p>
    <w:p w:rsidR="00E22271" w:rsidRPr="007156C1" w:rsidRDefault="00E22271" w:rsidP="00E22271">
      <w:pPr>
        <w:tabs>
          <w:tab w:val="left" w:pos="0"/>
          <w:tab w:val="left" w:pos="566"/>
          <w:tab w:val="left" w:pos="1134"/>
          <w:tab w:val="left" w:pos="1701"/>
          <w:tab w:val="left" w:pos="2280"/>
          <w:tab w:val="left" w:pos="6000"/>
        </w:tabs>
        <w:suppressAutoHyphens/>
        <w:spacing w:line="240" w:lineRule="auto"/>
        <w:jc w:val="both"/>
        <w:rPr>
          <w:lang w:val="fr-CH"/>
        </w:rPr>
      </w:pPr>
      <w:r w:rsidRPr="00660FF2">
        <w:rPr>
          <w:lang w:val="ru-RU"/>
        </w:rPr>
        <w:lastRenderedPageBreak/>
        <w:t>12.</w:t>
      </w:r>
      <w:r w:rsidRPr="00660FF2">
        <w:rPr>
          <w:lang w:val="ru-RU"/>
        </w:rPr>
        <w:tab/>
        <w:t>Для противодействия нарушениям по статье 7 важно, чтобы закон запрещал использование или принятие в качестве приемлемых в судебных разбирательствах заявлений или признаний, полученных путем применения пыток или других запрещенных видов обращения.</w:t>
      </w:r>
    </w:p>
    <w:p w:rsidR="00E22271" w:rsidRPr="007156C1" w:rsidRDefault="00E22271" w:rsidP="00E22271">
      <w:pPr>
        <w:tabs>
          <w:tab w:val="left" w:pos="0"/>
          <w:tab w:val="left" w:pos="566"/>
          <w:tab w:val="left" w:pos="1134"/>
          <w:tab w:val="left" w:pos="1701"/>
          <w:tab w:val="left" w:pos="2280"/>
          <w:tab w:val="left" w:pos="6000"/>
        </w:tabs>
        <w:suppressAutoHyphens/>
        <w:spacing w:line="240" w:lineRule="auto"/>
        <w:jc w:val="both"/>
        <w:rPr>
          <w:lang w:val="fr-CH"/>
        </w:rPr>
      </w:pPr>
      <w:r w:rsidRPr="00660FF2">
        <w:rPr>
          <w:lang w:val="ru-RU"/>
        </w:rPr>
        <w:t>13.</w:t>
      </w:r>
      <w:r w:rsidRPr="00660FF2">
        <w:rPr>
          <w:lang w:val="ru-RU"/>
        </w:rPr>
        <w:tab/>
        <w:t>Государства</w:t>
      </w:r>
      <w:r w:rsidRPr="00660FF2">
        <w:rPr>
          <w:lang w:val="ru-RU"/>
        </w:rPr>
        <w:noBreakHyphen/>
        <w:t>участники, представляя свои доклады, должны сообщать о положениях своего уголовного права, запрещающих пытки и жестокое, бесчеловечное и унижающее достоинство обращение или наказание, и указывать, какие меры наказания применяются в отношении таких действий, совершенных официальными или иными лицами, выступающими от имени государства, или частными лицами.  Лица, нарушающие статью 7 в форме побуждения к совершению запрещенных действий или отдачи приказа об их совершении, или проявления терпимости к их совершению, или собственно совершения таких действий, должны нести ответственность.  Следовательно, лица, отказавшиеся выполнять приказы, не должны подвергаться наказанию или какому</w:t>
      </w:r>
      <w:r w:rsidRPr="00660FF2">
        <w:rPr>
          <w:lang w:val="ru-RU"/>
        </w:rPr>
        <w:noBreakHyphen/>
        <w:t>л</w:t>
      </w:r>
      <w:r>
        <w:rPr>
          <w:lang w:val="ru-RU"/>
        </w:rPr>
        <w:t>ибо неблагоприятному обращению.</w:t>
      </w:r>
    </w:p>
    <w:p w:rsidR="00E22271" w:rsidRPr="007156C1" w:rsidRDefault="00E22271" w:rsidP="00E22271">
      <w:pPr>
        <w:tabs>
          <w:tab w:val="left" w:pos="0"/>
          <w:tab w:val="left" w:pos="566"/>
          <w:tab w:val="left" w:pos="1134"/>
          <w:tab w:val="left" w:pos="1701"/>
          <w:tab w:val="left" w:pos="2280"/>
          <w:tab w:val="left" w:pos="6000"/>
        </w:tabs>
        <w:suppressAutoHyphens/>
        <w:spacing w:line="240" w:lineRule="auto"/>
        <w:jc w:val="both"/>
        <w:rPr>
          <w:lang w:val="fr-CH"/>
        </w:rPr>
      </w:pPr>
      <w:r w:rsidRPr="00660FF2">
        <w:rPr>
          <w:lang w:val="ru-RU"/>
        </w:rPr>
        <w:t>14.</w:t>
      </w:r>
      <w:r w:rsidRPr="00660FF2">
        <w:rPr>
          <w:lang w:val="ru-RU"/>
        </w:rPr>
        <w:tab/>
        <w:t>Статью 7 следует рассматривать в сочетании с пунктом 3 статьи 2 Пакта.  В своих докладах государства</w:t>
      </w:r>
      <w:r w:rsidRPr="00660FF2">
        <w:rPr>
          <w:lang w:val="ru-RU"/>
        </w:rPr>
        <w:noBreakHyphen/>
        <w:t>участники должны указывать, каким образом их правовая система на практике гарантирует незамедлительное прекращение всех действий, запрещенных статьей 7, равно как и возможность соответствующего возмещения ущерба.  Во внутреннем законодательстве должно быть признано право подачи жалобы в отношении неправильного обращения, запрещенного статьей 7.  Жалобы должны расследоваться безотлагательно и беспристрастно компетентными органами с целью обеспечения эффективного использования данного средства правовой защиты.  Доклады государств</w:t>
      </w:r>
      <w:r w:rsidRPr="00660FF2">
        <w:rPr>
          <w:lang w:val="ru-RU"/>
        </w:rPr>
        <w:noBreakHyphen/>
        <w:t>участников должны содержать конкретную информацию о средствах правовой защиты, имеющихся в распоряжении жертв неправильного обращения, и о процедурах, которых должны придерживаться податели жалоб, а также статистические данные о количестве жалоб</w:t>
      </w:r>
      <w:r>
        <w:rPr>
          <w:lang w:val="ru-RU"/>
        </w:rPr>
        <w:t xml:space="preserve"> и результатах их рассмотрения.</w:t>
      </w:r>
    </w:p>
    <w:p w:rsidR="00E22271" w:rsidRPr="00660FF2" w:rsidRDefault="00E22271" w:rsidP="00E22271">
      <w:pPr>
        <w:tabs>
          <w:tab w:val="left" w:pos="0"/>
          <w:tab w:val="left" w:pos="566"/>
          <w:tab w:val="left" w:pos="1134"/>
          <w:tab w:val="left" w:pos="1701"/>
          <w:tab w:val="left" w:pos="2280"/>
          <w:tab w:val="left" w:pos="6000"/>
        </w:tabs>
        <w:suppressAutoHyphens/>
        <w:spacing w:line="240" w:lineRule="auto"/>
        <w:jc w:val="both"/>
        <w:rPr>
          <w:lang w:val="ru-RU"/>
        </w:rPr>
      </w:pPr>
      <w:r w:rsidRPr="00660FF2">
        <w:rPr>
          <w:lang w:val="ru-RU"/>
        </w:rPr>
        <w:t>15.</w:t>
      </w:r>
      <w:r w:rsidRPr="00660FF2">
        <w:rPr>
          <w:lang w:val="ru-RU"/>
        </w:rPr>
        <w:tab/>
        <w:t>Комитет отметил, что некоторые государства объявили амнистию в отношении актов пыток.  Амнистии обычно несовместимы с обязанностью государств проводить расследование таких деяний, гарантировать свободу от таких актов в пределах своей юрисдикции, и обеспечивать, чтобы они не повторялись в будущем.  Государства не могут лишать лиц права на эффективное использование какого</w:t>
      </w:r>
      <w:r w:rsidRPr="00660FF2">
        <w:rPr>
          <w:lang w:val="ru-RU"/>
        </w:rPr>
        <w:noBreakHyphen/>
        <w:t>либо средства защиты, включая компенсацию и такую полную реабилитацию, которая может оказаться возможной.</w:t>
      </w:r>
    </w:p>
    <w:p w:rsidR="00BB0519" w:rsidRPr="004C2168" w:rsidRDefault="00BB0519" w:rsidP="004C2168">
      <w:pPr>
        <w:tabs>
          <w:tab w:val="left" w:pos="0"/>
          <w:tab w:val="left" w:pos="566"/>
          <w:tab w:val="left" w:pos="1134"/>
          <w:tab w:val="left" w:pos="1701"/>
          <w:tab w:val="left" w:pos="2280"/>
          <w:tab w:val="left" w:pos="6000"/>
        </w:tabs>
        <w:suppressAutoHyphens/>
        <w:spacing w:line="240" w:lineRule="auto"/>
        <w:jc w:val="both"/>
        <w:rPr>
          <w:lang w:val="fr-CH"/>
        </w:rPr>
      </w:pPr>
    </w:p>
    <w:sectPr w:rsidR="00BB0519" w:rsidRPr="004C2168" w:rsidSect="007652C3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16" w:rsidRDefault="00C72A16" w:rsidP="00BB4F05">
      <w:pPr>
        <w:spacing w:after="0" w:line="240" w:lineRule="auto"/>
      </w:pPr>
      <w:r>
        <w:separator/>
      </w:r>
    </w:p>
  </w:endnote>
  <w:endnote w:type="continuationSeparator" w:id="0">
    <w:p w:rsidR="00C72A16" w:rsidRDefault="00C72A16" w:rsidP="00BB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05" w:rsidRDefault="00BB4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0C26">
      <w:rPr>
        <w:noProof/>
      </w:rPr>
      <w:t>1</w:t>
    </w:r>
    <w:r>
      <w:rPr>
        <w:noProof/>
      </w:rPr>
      <w:fldChar w:fldCharType="end"/>
    </w:r>
  </w:p>
  <w:p w:rsidR="00BB4F05" w:rsidRDefault="00BB4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16" w:rsidRDefault="00C72A16" w:rsidP="00BB4F05">
      <w:pPr>
        <w:spacing w:after="0" w:line="240" w:lineRule="auto"/>
      </w:pPr>
      <w:r>
        <w:separator/>
      </w:r>
    </w:p>
  </w:footnote>
  <w:footnote w:type="continuationSeparator" w:id="0">
    <w:p w:rsidR="00C72A16" w:rsidRDefault="00C72A16" w:rsidP="00BB4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9C6"/>
    <w:rsid w:val="00083181"/>
    <w:rsid w:val="001D4138"/>
    <w:rsid w:val="003203A5"/>
    <w:rsid w:val="00360207"/>
    <w:rsid w:val="00456F32"/>
    <w:rsid w:val="004C2168"/>
    <w:rsid w:val="0058746B"/>
    <w:rsid w:val="005C7C00"/>
    <w:rsid w:val="00731E4C"/>
    <w:rsid w:val="007652C3"/>
    <w:rsid w:val="0076573D"/>
    <w:rsid w:val="008038E6"/>
    <w:rsid w:val="00941445"/>
    <w:rsid w:val="00A00097"/>
    <w:rsid w:val="00A62153"/>
    <w:rsid w:val="00B43935"/>
    <w:rsid w:val="00B50C26"/>
    <w:rsid w:val="00BB0519"/>
    <w:rsid w:val="00BB4F05"/>
    <w:rsid w:val="00C72A16"/>
    <w:rsid w:val="00CD10C4"/>
    <w:rsid w:val="00CD20ED"/>
    <w:rsid w:val="00CD4628"/>
    <w:rsid w:val="00E21C31"/>
    <w:rsid w:val="00E22271"/>
    <w:rsid w:val="00E619C6"/>
    <w:rsid w:val="00EC5CFC"/>
    <w:rsid w:val="00F337A2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E619C6"/>
    <w:pPr>
      <w:keepNext/>
      <w:tabs>
        <w:tab w:val="left" w:pos="567"/>
        <w:tab w:val="left" w:pos="1134"/>
        <w:tab w:val="left" w:pos="1701"/>
        <w:tab w:val="left" w:pos="2268"/>
        <w:tab w:val="left" w:pos="6237"/>
      </w:tabs>
      <w:spacing w:before="240" w:after="60" w:line="288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619C6"/>
    <w:rPr>
      <w:rFonts w:ascii="Times New Roman" w:eastAsia="Times New Roman" w:hAnsi="Times New Roman" w:cs="Times New Roman"/>
      <w:sz w:val="24"/>
      <w:u w:val="single"/>
      <w:lang w:val="ru-RU" w:eastAsia="en-US"/>
    </w:rPr>
  </w:style>
  <w:style w:type="paragraph" w:styleId="Header">
    <w:name w:val="header"/>
    <w:basedOn w:val="Normal"/>
    <w:link w:val="HeaderChar"/>
    <w:uiPriority w:val="99"/>
    <w:unhideWhenUsed/>
    <w:rsid w:val="00BB4F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B4F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4F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4F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36A9D-559A-4B53-A806-8E28FE172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0B4E7-F350-41EA-8E52-E3A85497E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0ADDDE-CF98-4353-AF0D-B86DBD058213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1443</Words>
  <Characters>8230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UHRI Intern OHCHR</dc:creator>
  <cp:lastModifiedBy>Leila Duisekova</cp:lastModifiedBy>
  <cp:revision>2</cp:revision>
  <dcterms:created xsi:type="dcterms:W3CDTF">2015-09-08T13:08:00Z</dcterms:created>
  <dcterms:modified xsi:type="dcterms:W3CDTF">2015-09-08T13:08:00Z</dcterms:modified>
</cp:coreProperties>
</file>