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44" w:rsidRPr="00660FF2" w:rsidRDefault="00FE5344" w:rsidP="00FE5344">
      <w:pPr>
        <w:tabs>
          <w:tab w:val="left" w:pos="0"/>
          <w:tab w:val="left" w:pos="566"/>
          <w:tab w:val="left" w:pos="1134"/>
          <w:tab w:val="left" w:pos="1701"/>
          <w:tab w:val="left" w:pos="2280"/>
          <w:tab w:val="left" w:pos="6000"/>
        </w:tabs>
        <w:suppressAutoHyphens/>
        <w:spacing w:line="216" w:lineRule="auto"/>
        <w:jc w:val="center"/>
        <w:rPr>
          <w:b/>
          <w:bCs/>
          <w:lang w:val="ru-RU"/>
        </w:rPr>
      </w:pPr>
      <w:bookmarkStart w:id="0" w:name="_Toc515683687"/>
      <w:bookmarkStart w:id="1" w:name="_GoBack"/>
      <w:bookmarkEnd w:id="1"/>
      <w:r w:rsidRPr="00660FF2">
        <w:rPr>
          <w:b/>
          <w:bCs/>
          <w:lang w:val="ru-RU"/>
        </w:rPr>
        <w:t>Двадцать седьмая сессия (1986 год)</w:t>
      </w:r>
    </w:p>
    <w:p w:rsidR="00FE5344" w:rsidRPr="00660FF2" w:rsidRDefault="00FE5344" w:rsidP="00FE5344">
      <w:pPr>
        <w:pStyle w:val="Heading2"/>
        <w:keepNext w:val="0"/>
        <w:tabs>
          <w:tab w:val="left" w:pos="1134"/>
          <w:tab w:val="left" w:pos="1701"/>
        </w:tabs>
        <w:spacing w:before="0" w:after="0" w:line="216" w:lineRule="auto"/>
        <w:jc w:val="center"/>
        <w:rPr>
          <w:u w:val="none"/>
        </w:rPr>
      </w:pPr>
    </w:p>
    <w:p w:rsidR="00FE5344" w:rsidRPr="00660FF2" w:rsidRDefault="00FE5344" w:rsidP="00FE5344">
      <w:pPr>
        <w:pStyle w:val="Heading2"/>
        <w:keepNext w:val="0"/>
        <w:tabs>
          <w:tab w:val="left" w:pos="1134"/>
          <w:tab w:val="left" w:pos="1701"/>
        </w:tabs>
        <w:spacing w:before="0" w:after="0" w:line="216" w:lineRule="auto"/>
        <w:jc w:val="center"/>
        <w:rPr>
          <w:b/>
          <w:bCs/>
          <w:u w:val="none"/>
        </w:rPr>
      </w:pPr>
      <w:r w:rsidRPr="00660FF2">
        <w:rPr>
          <w:b/>
          <w:bCs/>
          <w:u w:val="none"/>
        </w:rPr>
        <w:t>Замечание общего порядка № 15 - Положение иностранцев</w:t>
      </w:r>
      <w:bookmarkEnd w:id="0"/>
      <w:r w:rsidRPr="00660FF2">
        <w:rPr>
          <w:b/>
          <w:bCs/>
          <w:u w:val="none"/>
        </w:rPr>
        <w:t xml:space="preserve"> в соответствии с Пактом</w:t>
      </w:r>
    </w:p>
    <w:p w:rsidR="00FE5344" w:rsidRPr="00660FF2" w:rsidRDefault="00FE5344" w:rsidP="00FE5344">
      <w:pPr>
        <w:tabs>
          <w:tab w:val="left" w:pos="0"/>
          <w:tab w:val="left" w:pos="566"/>
          <w:tab w:val="left" w:pos="1134"/>
          <w:tab w:val="left" w:pos="1701"/>
          <w:tab w:val="left" w:pos="2280"/>
          <w:tab w:val="left" w:pos="6000"/>
        </w:tabs>
        <w:suppressAutoHyphens/>
        <w:spacing w:line="216" w:lineRule="auto"/>
        <w:rPr>
          <w:u w:val="single"/>
          <w:lang w:val="ru-RU"/>
        </w:rPr>
      </w:pPr>
    </w:p>
    <w:p w:rsidR="00FE5344" w:rsidRPr="007156C1" w:rsidRDefault="00FE5344" w:rsidP="00FE5344">
      <w:pPr>
        <w:tabs>
          <w:tab w:val="left" w:pos="0"/>
          <w:tab w:val="left" w:pos="566"/>
          <w:tab w:val="left" w:pos="1134"/>
          <w:tab w:val="left" w:pos="1701"/>
          <w:tab w:val="left" w:pos="2280"/>
          <w:tab w:val="left" w:pos="6000"/>
        </w:tabs>
        <w:suppressAutoHyphens/>
        <w:spacing w:line="240" w:lineRule="auto"/>
        <w:jc w:val="both"/>
        <w:rPr>
          <w:lang w:val="fr-CH"/>
        </w:rPr>
      </w:pPr>
      <w:r w:rsidRPr="00660FF2">
        <w:rPr>
          <w:lang w:val="ru-RU"/>
        </w:rPr>
        <w:t>1.</w:t>
      </w:r>
      <w:r w:rsidRPr="00660FF2">
        <w:rPr>
          <w:lang w:val="ru-RU"/>
        </w:rPr>
        <w:tab/>
        <w:t>В докладах государств</w:t>
      </w:r>
      <w:r w:rsidRPr="00660FF2">
        <w:rPr>
          <w:lang w:val="ru-RU"/>
        </w:rPr>
        <w:noBreakHyphen/>
        <w:t>участников зачастую не учитывается то, что каждое государство</w:t>
      </w:r>
      <w:r w:rsidRPr="00660FF2">
        <w:rPr>
          <w:lang w:val="ru-RU"/>
        </w:rPr>
        <w:noBreakHyphen/>
        <w:t>участник должно обеспечить права, предусматриваемые в Пакте, "всем находящимся в пределах его территории и под его юрисдикцией лицам" (статья 2 (1)).  В целом права, зафиксированные в Пакте, распространяются на всех лиц, независимо от принципа взаимности, от их гражд</w:t>
      </w:r>
      <w:r>
        <w:rPr>
          <w:lang w:val="ru-RU"/>
        </w:rPr>
        <w:t>анства или отсутствия такового.</w:t>
      </w:r>
    </w:p>
    <w:p w:rsidR="00FE5344" w:rsidRPr="007156C1" w:rsidRDefault="00FE5344" w:rsidP="00FE5344">
      <w:pPr>
        <w:tabs>
          <w:tab w:val="left" w:pos="0"/>
          <w:tab w:val="left" w:pos="566"/>
          <w:tab w:val="left" w:pos="1134"/>
          <w:tab w:val="left" w:pos="1701"/>
          <w:tab w:val="left" w:pos="2280"/>
          <w:tab w:val="left" w:pos="6000"/>
        </w:tabs>
        <w:suppressAutoHyphens/>
        <w:spacing w:line="240" w:lineRule="auto"/>
        <w:jc w:val="both"/>
        <w:rPr>
          <w:lang w:val="fr-CH"/>
        </w:rPr>
      </w:pPr>
      <w:r w:rsidRPr="00660FF2">
        <w:rPr>
          <w:lang w:val="ru-RU"/>
        </w:rPr>
        <w:t>2.</w:t>
      </w:r>
      <w:r w:rsidRPr="00660FF2">
        <w:rPr>
          <w:lang w:val="ru-RU"/>
        </w:rPr>
        <w:tab/>
        <w:t>Таким образом, общее правило заключается в том, чтобы каждое из прав, установленных в Пакте, должно быть гарантировано без дискриминации между гражданами и иностранцами.  На иностранцев распространяется общее требование недискриминации в отношении прав, гарантированных в Пакте, согласно положениям статьи 2.  Эта гарантия распространяется как на граждан, так и на иностранцев.  В исключительных случаях некоторые права, признаваемые в Пакте, применимы, как на это прямо указывается, либо только к гражданам государства</w:t>
      </w:r>
      <w:r w:rsidRPr="00660FF2">
        <w:rPr>
          <w:lang w:val="ru-RU"/>
        </w:rPr>
        <w:noBreakHyphen/>
        <w:t xml:space="preserve">участника (статья 25), либо только к иностранцам (статья 13).  Однако опыт Комитета в рассмотрении докладов свидетельствует о том, что в ряде стран иностранцы лишены многих прав, которыми они должны пользоваться в соответствии с Пактом, или эти права ограничены, что не всегда может являться правомерным с точки </w:t>
      </w:r>
      <w:r>
        <w:rPr>
          <w:lang w:val="ru-RU"/>
        </w:rPr>
        <w:t>зрения Пакта.</w:t>
      </w:r>
    </w:p>
    <w:p w:rsidR="00FE5344" w:rsidRPr="007156C1" w:rsidRDefault="00FE5344" w:rsidP="00FE5344">
      <w:pPr>
        <w:tabs>
          <w:tab w:val="left" w:pos="0"/>
          <w:tab w:val="left" w:pos="566"/>
          <w:tab w:val="left" w:pos="1134"/>
          <w:tab w:val="left" w:pos="1701"/>
          <w:tab w:val="left" w:pos="2280"/>
          <w:tab w:val="left" w:pos="6000"/>
        </w:tabs>
        <w:suppressAutoHyphens/>
        <w:spacing w:line="240" w:lineRule="auto"/>
        <w:jc w:val="both"/>
        <w:rPr>
          <w:lang w:val="fr-CH"/>
        </w:rPr>
      </w:pPr>
      <w:r w:rsidRPr="00660FF2">
        <w:rPr>
          <w:lang w:val="ru-RU"/>
        </w:rPr>
        <w:t>3.</w:t>
      </w:r>
      <w:r w:rsidRPr="00660FF2">
        <w:rPr>
          <w:lang w:val="ru-RU"/>
        </w:rPr>
        <w:tab/>
        <w:t>Некоторые конституции уравнивают иностранцев в правах с гражданами.  В других, принятых позднее конституциях, тщательно разграничиваются и детализируются основные права, применимые ко всем, и основные права, предоставляемые только гражданам.  Однако конституции многих государств составлены таким образом, что, когда речь идет о предоставлении соответствующих прав, имеются в виду только граждане.  Законодательство и прецедентное право также могут играть важную роль в обеспечении прав иностранцев.  Комитету сообщили, что, хотя в некоторых государствах основные права в соответствии с конституцией или иным законодательством и не предоставляются иностранцам, они будут также распространены на них, как этого требует Пакт.  Тем не менее в определенных случаях при осуществлении предусмотренных Пактом прав имеет место явная дискрим</w:t>
      </w:r>
      <w:r>
        <w:rPr>
          <w:lang w:val="ru-RU"/>
        </w:rPr>
        <w:t>инация в отношении иностранцев.</w:t>
      </w:r>
    </w:p>
    <w:p w:rsidR="00FE5344" w:rsidRPr="007156C1" w:rsidRDefault="00FE5344" w:rsidP="00FE5344">
      <w:pPr>
        <w:tabs>
          <w:tab w:val="left" w:pos="0"/>
          <w:tab w:val="left" w:pos="566"/>
          <w:tab w:val="left" w:pos="1134"/>
          <w:tab w:val="left" w:pos="1701"/>
          <w:tab w:val="left" w:pos="2280"/>
          <w:tab w:val="left" w:pos="6000"/>
        </w:tabs>
        <w:suppressAutoHyphens/>
        <w:spacing w:line="240" w:lineRule="auto"/>
        <w:jc w:val="both"/>
        <w:rPr>
          <w:lang w:val="fr-CH"/>
        </w:rPr>
      </w:pPr>
      <w:r w:rsidRPr="00660FF2">
        <w:rPr>
          <w:lang w:val="ru-RU"/>
        </w:rPr>
        <w:t>4.</w:t>
      </w:r>
      <w:r w:rsidRPr="00660FF2">
        <w:rPr>
          <w:lang w:val="ru-RU"/>
        </w:rPr>
        <w:tab/>
        <w:t>Комитет считает, что в своих докладах государства</w:t>
      </w:r>
      <w:r w:rsidRPr="00660FF2">
        <w:rPr>
          <w:lang w:val="ru-RU"/>
        </w:rPr>
        <w:noBreakHyphen/>
        <w:t>участники должны уделять внимание положению иностранцев как в рамках своего законодательства, так и в соответствии с существующей практикой.  Пакт обеспечивает иностранцам полную защиту в том, что касается гарантированных в нем прав, и государства</w:t>
      </w:r>
      <w:r w:rsidRPr="00660FF2">
        <w:rPr>
          <w:lang w:val="ru-RU"/>
        </w:rPr>
        <w:noBreakHyphen/>
        <w:t>участники должны надлежащим образом соблюдать его требования в своем законодательстве и своей практике.  Это позволит значительно улучшить положение иностранцев.  Государства</w:t>
      </w:r>
      <w:r w:rsidRPr="00660FF2">
        <w:rPr>
          <w:lang w:val="ru-RU"/>
        </w:rPr>
        <w:noBreakHyphen/>
        <w:t xml:space="preserve">участники должны обеспечить, чтобы иностранцев в рамках их юрисдикции ставили в известность о положениях Пакта и об </w:t>
      </w:r>
      <w:r>
        <w:rPr>
          <w:lang w:val="ru-RU"/>
        </w:rPr>
        <w:t>их правах в соответствии с ним.</w:t>
      </w:r>
    </w:p>
    <w:p w:rsidR="00FE5344" w:rsidRPr="007156C1" w:rsidRDefault="00FE5344" w:rsidP="00FE5344">
      <w:pPr>
        <w:tabs>
          <w:tab w:val="left" w:pos="0"/>
          <w:tab w:val="left" w:pos="566"/>
          <w:tab w:val="left" w:pos="1134"/>
          <w:tab w:val="left" w:pos="1701"/>
          <w:tab w:val="left" w:pos="2280"/>
          <w:tab w:val="left" w:pos="6000"/>
        </w:tabs>
        <w:suppressAutoHyphens/>
        <w:spacing w:line="240" w:lineRule="auto"/>
        <w:jc w:val="both"/>
        <w:rPr>
          <w:lang w:val="fr-CH"/>
        </w:rPr>
      </w:pPr>
      <w:r w:rsidRPr="00660FF2">
        <w:rPr>
          <w:lang w:val="ru-RU"/>
        </w:rPr>
        <w:t>5.</w:t>
      </w:r>
      <w:r w:rsidRPr="00660FF2">
        <w:rPr>
          <w:lang w:val="ru-RU"/>
        </w:rPr>
        <w:tab/>
        <w:t>В Пакте не признается право иностранцев въезжать на территорию государства</w:t>
      </w:r>
      <w:r w:rsidRPr="00660FF2">
        <w:rPr>
          <w:lang w:val="ru-RU"/>
        </w:rPr>
        <w:noBreakHyphen/>
        <w:t xml:space="preserve">участника или проживать на ней.  В принципе, решение вопроса о том, кого оно желает допускать на свою территорию, является прерогативой государства.  Однако в определенных случаях иностранец может пользоваться защитой Пакта даже в отношении въезда и проживания, например, в случае возникновения соображений недопущения дискриминации, запрещения негуманного обращения и недопущения </w:t>
      </w:r>
      <w:r>
        <w:rPr>
          <w:lang w:val="ru-RU"/>
        </w:rPr>
        <w:t>вмешательства в семейную жизнь.</w:t>
      </w:r>
    </w:p>
    <w:p w:rsidR="00FE5344" w:rsidRPr="007156C1" w:rsidRDefault="00FE5344" w:rsidP="00FE5344">
      <w:pPr>
        <w:tabs>
          <w:tab w:val="left" w:pos="0"/>
          <w:tab w:val="left" w:pos="566"/>
          <w:tab w:val="left" w:pos="1134"/>
          <w:tab w:val="left" w:pos="1701"/>
          <w:tab w:val="left" w:pos="2280"/>
          <w:tab w:val="left" w:pos="6000"/>
        </w:tabs>
        <w:suppressAutoHyphens/>
        <w:spacing w:line="240" w:lineRule="auto"/>
        <w:jc w:val="both"/>
        <w:rPr>
          <w:lang w:val="fr-CH"/>
        </w:rPr>
      </w:pPr>
      <w:r w:rsidRPr="00660FF2">
        <w:rPr>
          <w:lang w:val="ru-RU"/>
        </w:rPr>
        <w:lastRenderedPageBreak/>
        <w:t>6.</w:t>
      </w:r>
      <w:r w:rsidRPr="00660FF2">
        <w:rPr>
          <w:lang w:val="ru-RU"/>
        </w:rPr>
        <w:tab/>
        <w:t>Согласие на въезд может даваться на условиях, касающихся, например, передвижения, проживания и трудоустройства.  Государство может также вводить общие условия для иностранца, проезжающего транзитом.  Однако если иностранцам разрешено въехать на территорию государства</w:t>
      </w:r>
      <w:r w:rsidRPr="00660FF2">
        <w:rPr>
          <w:lang w:val="ru-RU"/>
        </w:rPr>
        <w:noBreakHyphen/>
        <w:t xml:space="preserve">участника, на них распространяются </w:t>
      </w:r>
      <w:r>
        <w:rPr>
          <w:lang w:val="ru-RU"/>
        </w:rPr>
        <w:t>права, зафиксированные в Пакте.</w:t>
      </w:r>
    </w:p>
    <w:p w:rsidR="00FE5344" w:rsidRPr="007156C1" w:rsidRDefault="00FE5344" w:rsidP="00FE5344">
      <w:pPr>
        <w:tabs>
          <w:tab w:val="left" w:pos="0"/>
          <w:tab w:val="left" w:pos="566"/>
          <w:tab w:val="left" w:pos="1134"/>
          <w:tab w:val="left" w:pos="1701"/>
          <w:tab w:val="left" w:pos="2280"/>
          <w:tab w:val="left" w:pos="6000"/>
        </w:tabs>
        <w:suppressAutoHyphens/>
        <w:spacing w:line="240" w:lineRule="auto"/>
        <w:jc w:val="both"/>
        <w:rPr>
          <w:lang w:val="fr-CH"/>
        </w:rPr>
      </w:pPr>
      <w:r w:rsidRPr="00660FF2">
        <w:rPr>
          <w:lang w:val="ru-RU"/>
        </w:rPr>
        <w:t>7.</w:t>
      </w:r>
      <w:r w:rsidRPr="00660FF2">
        <w:rPr>
          <w:lang w:val="ru-RU"/>
        </w:rPr>
        <w:tab/>
        <w:t>Таким образом, иностранцы имеют неотъемлемое право на жизнь, охраняемое законом, и не могут быть произвольно лишены жизни.  Они не должны подвергаться пыткам и жестоким, бесчеловечным или унижающим достоинство обращению или наказанию;  они не должны также содержаться в рабстве или в подневольном состоянии.  Иностранцы имеют полное право на свободу и личную неприкосновенность.  В случае законного лишения свободы они имеют право на гуманное обращение и уважение достоинства, присущего их личности.  Иностранец не может быть лишен свободы на том только основании, что он не в состоянии выполнить какое</w:t>
      </w:r>
      <w:r w:rsidRPr="00660FF2">
        <w:rPr>
          <w:lang w:val="ru-RU"/>
        </w:rPr>
        <w:noBreakHyphen/>
        <w:t>либо договорное обязательство.  Иностранцам принадлежит право на свободное передвижение и свободу выбора места жительства;  они также имеют право покидать страну.  Иностранцы равны перед судами и трибуналами и имеют право при рассмотрении любого уголовного обвинения, предъявляемого им, или при определении их прав и обязанностей в каком</w:t>
      </w:r>
      <w:r w:rsidRPr="00660FF2">
        <w:rPr>
          <w:lang w:val="ru-RU"/>
        </w:rPr>
        <w:noBreakHyphen/>
        <w:t>либо гражданском процессе, на справедливое и публичное разбирательство дела компетентным, независимым и беспристрастным судом, созданным на основании закона.  На иностранцев не должно распространяться уголовное законодательство, имеющее обратную силу;  иностранцы не могут подвергаться произвольному или незаконному вмешательству в их личную или семейную жизнь, произвольным или незаконным посягательствам на неприкосновенность их жилища или тайну их корреспонденции.  Они имеют право на свободу мысли, совести и религии, а также право придерживаться своих мнений и выражать их.  На иностранцев распространяется право на мирные собрания и на свободу ассоциации.  Они могут вступать в брак по достижении брачного возраста.  Их дети имеют право на такие меры защиты, которые требуются в их положении как малолетних.  В тех случаях, когда иностранцы составляют меньшинство по смыслу статьи 27, им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  Иностранцы имеют право на равную защиту закона.  В применении этих прав не должно быть какой</w:t>
      </w:r>
      <w:r w:rsidRPr="00660FF2">
        <w:rPr>
          <w:lang w:val="ru-RU"/>
        </w:rPr>
        <w:noBreakHyphen/>
        <w:t>либо дискриминации между иностранцами и гражданами.  Эти права иностранцев могут быть подвергнуты лишь таким ограничениям, которые могут быть введены</w:t>
      </w:r>
      <w:r>
        <w:rPr>
          <w:lang w:val="ru-RU"/>
        </w:rPr>
        <w:t xml:space="preserve"> в соответствии с Пактом.</w:t>
      </w:r>
    </w:p>
    <w:p w:rsidR="00FE5344" w:rsidRPr="007156C1" w:rsidRDefault="00FE5344" w:rsidP="00FE5344">
      <w:pPr>
        <w:tabs>
          <w:tab w:val="left" w:pos="0"/>
          <w:tab w:val="left" w:pos="566"/>
          <w:tab w:val="left" w:pos="1134"/>
          <w:tab w:val="left" w:pos="1701"/>
          <w:tab w:val="left" w:pos="2280"/>
          <w:tab w:val="left" w:pos="6000"/>
        </w:tabs>
        <w:suppressAutoHyphens/>
        <w:spacing w:line="240" w:lineRule="auto"/>
        <w:jc w:val="both"/>
        <w:rPr>
          <w:lang w:val="fr-CH"/>
        </w:rPr>
      </w:pPr>
      <w:r w:rsidRPr="00660FF2">
        <w:rPr>
          <w:lang w:val="ru-RU"/>
        </w:rPr>
        <w:t>8.</w:t>
      </w:r>
      <w:r w:rsidRPr="00660FF2">
        <w:rPr>
          <w:lang w:val="ru-RU"/>
        </w:rPr>
        <w:tab/>
        <w:t>Если иностранец законно находится в пределах территории, свобода его передвижения по этой территории и его право покидать эту территорию могут быть ограничены лишь в соответствии со статьей 12 (3).  Различия в соответствующем режиме иностранцев и граждан или разных категорий иностранцев должны обосновываться в соответствии со статьей 12 (3).  Поскольку такие ограничения должны, в частности, соответствовать другим правам, признаваемым в Пакте, государство</w:t>
      </w:r>
      <w:r w:rsidRPr="00660FF2">
        <w:rPr>
          <w:lang w:val="ru-RU"/>
        </w:rPr>
        <w:noBreakHyphen/>
        <w:t>участник, лишая иностранца свободы передвижения или высылая его в какую</w:t>
      </w:r>
      <w:r w:rsidRPr="00660FF2">
        <w:rPr>
          <w:lang w:val="ru-RU"/>
        </w:rPr>
        <w:noBreakHyphen/>
        <w:t>либо третью страну, не может произвольно препятствовать его возвращению в его собс</w:t>
      </w:r>
      <w:r>
        <w:rPr>
          <w:lang w:val="ru-RU"/>
        </w:rPr>
        <w:t>твенную страну (статья 12 (4)).</w:t>
      </w:r>
    </w:p>
    <w:p w:rsidR="00FE5344" w:rsidRPr="007156C1" w:rsidRDefault="00FE5344" w:rsidP="00FE5344">
      <w:pPr>
        <w:tabs>
          <w:tab w:val="left" w:pos="0"/>
          <w:tab w:val="left" w:pos="566"/>
          <w:tab w:val="left" w:pos="1134"/>
          <w:tab w:val="left" w:pos="1701"/>
          <w:tab w:val="left" w:pos="2280"/>
          <w:tab w:val="left" w:pos="6000"/>
        </w:tabs>
        <w:suppressAutoHyphens/>
        <w:spacing w:line="240" w:lineRule="auto"/>
        <w:jc w:val="both"/>
        <w:rPr>
          <w:lang w:val="fr-CH"/>
        </w:rPr>
      </w:pPr>
      <w:r w:rsidRPr="00660FF2">
        <w:rPr>
          <w:lang w:val="ru-RU"/>
        </w:rPr>
        <w:t>9.</w:t>
      </w:r>
      <w:r w:rsidRPr="00660FF2">
        <w:rPr>
          <w:lang w:val="ru-RU"/>
        </w:rPr>
        <w:tab/>
        <w:t xml:space="preserve">Во многих докладах не содержится достаточно полной информации по вопросам, относящимся к статье 13.  Эта статья применима ко всем процедурам, имеющим своей целью обязательный выезд иностранца, независимо от того, называется ли в национальном законодательстве это действие высылкой или используются другие термины.  Если подобные процедуры влекут за собой арест, то могут также применяться гарантии, предусмотренные Пактом в отношении лишения свободы (статьи 9 и 10).  Если арест преследует единственную цель экстрадиции, то могут применяться другие положения национального законодательства или международного права.  Как правило, высылаемому иностранцу должно быть разрешено выехать в любую страну, которая согласится принять его.  Конкретные права, зафиксированные </w:t>
      </w:r>
      <w:r w:rsidRPr="00660FF2">
        <w:rPr>
          <w:lang w:val="ru-RU"/>
        </w:rPr>
        <w:lastRenderedPageBreak/>
        <w:t>в статье 13, предусматривают защиту лишь тех иностранцев, которые законно находятся на территории государства</w:t>
      </w:r>
      <w:r w:rsidRPr="00660FF2">
        <w:rPr>
          <w:lang w:val="ru-RU"/>
        </w:rPr>
        <w:noBreakHyphen/>
        <w:t>участника.  Это означает, что положения национального законодательства, касающиеся условий въезда в страну и пребывания в ней, должны приниматься во внимание при определении сферы такой защиты и что их действие не распространяется на лиц, незаконно въехавших в страну, и иностранцев, превысивших срок пребывания в стране, установленный законом или указанный в их виде на жительство.  Однако если вопрос о законности въезда иностранца в страну или его пребывания в ней является спорным, то любое решение по этому вопросу, ведущее к его высылке или депортации, должно приниматься в соответствии с положениями статьи 13.  Именно компетентные органы государства</w:t>
      </w:r>
      <w:r w:rsidRPr="00660FF2">
        <w:rPr>
          <w:lang w:val="ru-RU"/>
        </w:rPr>
        <w:noBreakHyphen/>
        <w:t>участника, действующие в духе доброй воли и осуществляющие свои полномочия, должны применять и толковать внутреннее законодательство, соблюдая при этом такие требования Пакта, как равен</w:t>
      </w:r>
      <w:r>
        <w:rPr>
          <w:lang w:val="ru-RU"/>
        </w:rPr>
        <w:t>ство перед законом (статья 26).</w:t>
      </w:r>
    </w:p>
    <w:p w:rsidR="00FE5344" w:rsidRPr="00660FF2" w:rsidRDefault="00FE5344" w:rsidP="00FE5344">
      <w:pPr>
        <w:tabs>
          <w:tab w:val="left" w:pos="0"/>
          <w:tab w:val="left" w:pos="566"/>
          <w:tab w:val="left" w:pos="1134"/>
          <w:tab w:val="left" w:pos="1701"/>
          <w:tab w:val="left" w:pos="2280"/>
          <w:tab w:val="left" w:pos="6000"/>
        </w:tabs>
        <w:suppressAutoHyphens/>
        <w:spacing w:line="240" w:lineRule="auto"/>
        <w:jc w:val="both"/>
        <w:rPr>
          <w:lang w:val="ru-RU"/>
        </w:rPr>
      </w:pPr>
      <w:r w:rsidRPr="00660FF2">
        <w:rPr>
          <w:lang w:val="ru-RU"/>
        </w:rPr>
        <w:t>10.</w:t>
      </w:r>
      <w:r w:rsidRPr="00660FF2">
        <w:rPr>
          <w:lang w:val="ru-RU"/>
        </w:rPr>
        <w:tab/>
        <w:t>Статья 13 непосредственно регулирует лишь процедуру, а не основания для высылки из страны.  Однако, поскольку она допускает высылку из страны только "во исполнение решения, вынесенного в соответствии с законом", ее цель, безусловно, заключается в предотвращении произвольной высылки.  В то же время она предоставляет каждому иностранцу право на решение его дела в индивидуальном порядке и поэтому принятие законов или решений о коллективной или массовой высылке противоречило бы положениям статьи 13.  По мнению Комитета, такое понимание подтверждается другими положениями, касающимися права на представление доводов против высылки, на пересмотр решения компетентной властью или каким</w:t>
      </w:r>
      <w:r w:rsidRPr="00660FF2">
        <w:rPr>
          <w:lang w:val="ru-RU"/>
        </w:rPr>
        <w:noBreakHyphen/>
        <w:t>либо назначенным ею лицом и права быть представленным перед этой властью или лицом.  Иностранцу должны быть предоставлены все возможности использовать имеющиеся у него средства судебной защиты с целью воспрепятствовать его высылке, с тем чтобы во всех случаях это право имело действенный характер.  Принципы статьи 13, касающиеся предоставления доводов против высылки и права на пересмотр дела компетентной властью, могут не соблюдаться лишь в том случае, если этого требуют "императивные соображения государственной безопасности".  Дискриминация различных категорий иностранцев в применении статьи 13 не допускается.</w:t>
      </w:r>
    </w:p>
    <w:p w:rsidR="00BB0519" w:rsidRDefault="00BB0519" w:rsidP="0058746B"/>
    <w:sectPr w:rsidR="00BB0519" w:rsidSect="007652C3">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A5B" w:rsidRDefault="007B3A5B" w:rsidP="00BB4F05">
      <w:pPr>
        <w:spacing w:after="0" w:line="240" w:lineRule="auto"/>
      </w:pPr>
      <w:r>
        <w:separator/>
      </w:r>
    </w:p>
  </w:endnote>
  <w:endnote w:type="continuationSeparator" w:id="0">
    <w:p w:rsidR="007B3A5B" w:rsidRDefault="007B3A5B" w:rsidP="00BB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05" w:rsidRDefault="00BB4F05">
    <w:pPr>
      <w:pStyle w:val="Footer"/>
      <w:jc w:val="right"/>
    </w:pPr>
    <w:r>
      <w:fldChar w:fldCharType="begin"/>
    </w:r>
    <w:r>
      <w:instrText xml:space="preserve"> PAGE   \* MERGEFORMAT </w:instrText>
    </w:r>
    <w:r>
      <w:fldChar w:fldCharType="separate"/>
    </w:r>
    <w:r w:rsidR="006F5C46">
      <w:rPr>
        <w:noProof/>
      </w:rPr>
      <w:t>1</w:t>
    </w:r>
    <w:r>
      <w:rPr>
        <w:noProof/>
      </w:rPr>
      <w:fldChar w:fldCharType="end"/>
    </w:r>
  </w:p>
  <w:p w:rsidR="00BB4F05" w:rsidRDefault="00BB4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A5B" w:rsidRDefault="007B3A5B" w:rsidP="00BB4F05">
      <w:pPr>
        <w:spacing w:after="0" w:line="240" w:lineRule="auto"/>
      </w:pPr>
      <w:r>
        <w:separator/>
      </w:r>
    </w:p>
  </w:footnote>
  <w:footnote w:type="continuationSeparator" w:id="0">
    <w:p w:rsidR="007B3A5B" w:rsidRDefault="007B3A5B" w:rsidP="00BB4F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19C6"/>
    <w:rsid w:val="00083181"/>
    <w:rsid w:val="003203A5"/>
    <w:rsid w:val="00360207"/>
    <w:rsid w:val="00456F32"/>
    <w:rsid w:val="0058746B"/>
    <w:rsid w:val="005C7C00"/>
    <w:rsid w:val="006F5C46"/>
    <w:rsid w:val="00731E4C"/>
    <w:rsid w:val="007652C3"/>
    <w:rsid w:val="007B3A5B"/>
    <w:rsid w:val="008038E6"/>
    <w:rsid w:val="00941445"/>
    <w:rsid w:val="00A00097"/>
    <w:rsid w:val="00B43935"/>
    <w:rsid w:val="00BB0519"/>
    <w:rsid w:val="00BB4F05"/>
    <w:rsid w:val="00CD10C4"/>
    <w:rsid w:val="00CD20ED"/>
    <w:rsid w:val="00CD4628"/>
    <w:rsid w:val="00E21C31"/>
    <w:rsid w:val="00E619C6"/>
    <w:rsid w:val="00EC5CFC"/>
    <w:rsid w:val="00F337A2"/>
    <w:rsid w:val="00FE5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zh-CN"/>
    </w:rPr>
  </w:style>
  <w:style w:type="paragraph" w:styleId="Heading2">
    <w:name w:val="heading 2"/>
    <w:basedOn w:val="Normal"/>
    <w:next w:val="Normal"/>
    <w:link w:val="Heading2Char"/>
    <w:qFormat/>
    <w:rsid w:val="00E619C6"/>
    <w:pPr>
      <w:keepNext/>
      <w:tabs>
        <w:tab w:val="left" w:pos="567"/>
        <w:tab w:val="left" w:pos="1134"/>
        <w:tab w:val="left" w:pos="1701"/>
        <w:tab w:val="left" w:pos="2268"/>
        <w:tab w:val="left" w:pos="6237"/>
      </w:tabs>
      <w:spacing w:before="240" w:after="60" w:line="288" w:lineRule="auto"/>
      <w:outlineLvl w:val="1"/>
    </w:pPr>
    <w:rPr>
      <w:rFonts w:ascii="Times New Roman" w:eastAsia="Times New Roman" w:hAnsi="Times New Roman" w:cs="Times New Roman"/>
      <w:sz w:val="24"/>
      <w:szCs w:val="20"/>
      <w:u w:val="single"/>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619C6"/>
    <w:rPr>
      <w:rFonts w:ascii="Times New Roman" w:eastAsia="Times New Roman" w:hAnsi="Times New Roman" w:cs="Times New Roman"/>
      <w:sz w:val="24"/>
      <w:u w:val="single"/>
      <w:lang w:val="ru-RU" w:eastAsia="en-US"/>
    </w:rPr>
  </w:style>
  <w:style w:type="paragraph" w:styleId="Header">
    <w:name w:val="header"/>
    <w:basedOn w:val="Normal"/>
    <w:link w:val="HeaderChar"/>
    <w:uiPriority w:val="99"/>
    <w:unhideWhenUsed/>
    <w:rsid w:val="00BB4F05"/>
    <w:pPr>
      <w:tabs>
        <w:tab w:val="center" w:pos="4513"/>
        <w:tab w:val="right" w:pos="9026"/>
      </w:tabs>
    </w:pPr>
  </w:style>
  <w:style w:type="character" w:customStyle="1" w:styleId="HeaderChar">
    <w:name w:val="Header Char"/>
    <w:link w:val="Header"/>
    <w:uiPriority w:val="99"/>
    <w:rsid w:val="00BB4F05"/>
    <w:rPr>
      <w:sz w:val="22"/>
      <w:szCs w:val="22"/>
    </w:rPr>
  </w:style>
  <w:style w:type="paragraph" w:styleId="Footer">
    <w:name w:val="footer"/>
    <w:basedOn w:val="Normal"/>
    <w:link w:val="FooterChar"/>
    <w:uiPriority w:val="99"/>
    <w:unhideWhenUsed/>
    <w:rsid w:val="00BB4F05"/>
    <w:pPr>
      <w:tabs>
        <w:tab w:val="center" w:pos="4513"/>
        <w:tab w:val="right" w:pos="9026"/>
      </w:tabs>
    </w:pPr>
  </w:style>
  <w:style w:type="character" w:customStyle="1" w:styleId="FooterChar">
    <w:name w:val="Footer Char"/>
    <w:link w:val="Footer"/>
    <w:uiPriority w:val="99"/>
    <w:rsid w:val="00BB4F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91A151-F197-4708-9DC0-695FA8B7EE6F}">
  <ds:schemaRefs>
    <ds:schemaRef ds:uri="http://schemas.microsoft.com/sharepoint/v3/contenttype/forms"/>
  </ds:schemaRefs>
</ds:datastoreItem>
</file>

<file path=customXml/itemProps2.xml><?xml version="1.0" encoding="utf-8"?>
<ds:datastoreItem xmlns:ds="http://schemas.openxmlformats.org/officeDocument/2006/customXml" ds:itemID="{1F3F5B65-1453-480E-9E8A-8610BB4C6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A0F17A-7CC8-4141-AB0E-E71C120BCD3C}">
  <ds:schemaRef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1444</Words>
  <Characters>8231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UHRI Intern OHCHR</dc:creator>
  <cp:lastModifiedBy>Leila Duisekova</cp:lastModifiedBy>
  <cp:revision>2</cp:revision>
  <dcterms:created xsi:type="dcterms:W3CDTF">2015-09-08T13:12:00Z</dcterms:created>
  <dcterms:modified xsi:type="dcterms:W3CDTF">2015-09-08T13:12:00Z</dcterms:modified>
</cp:coreProperties>
</file>