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19" w:rsidRPr="00EF4C64" w:rsidRDefault="00150319" w:rsidP="00150319">
      <w:pPr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zakon.kz </w:t>
      </w:r>
      <w:r w:rsidR="00C750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Лаура Агыбаева, судья Верховного Суда РК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Судья ВС: Расширение суда присяжных способствует развитию демократических процессов в обществе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13.09.2016</w:t>
      </w:r>
      <w:r w:rsidR="00EF4C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г.</w:t>
      </w:r>
      <w:bookmarkStart w:id="0" w:name="_GoBack"/>
      <w:bookmarkEnd w:id="0"/>
    </w:p>
    <w:p w:rsidR="00C551E5" w:rsidRDefault="00C551E5" w:rsidP="00C53149">
      <w:pPr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 xml:space="preserve">В Казахстане за 6 месяцев 2016 года с участием присяжных заседателей было рассмотрено 42 дела, тогда как в 2015 году всего 25. Рост популярности института присяжных заседателей обеспечили прошедшие преобразования в судебной системе. 21 шагом Плана Нации по обеспечению верховенства закона предусмотрено расширение области применения суда присяжных путем законодательного закрепления категорий уголовных дел, по которым суд присяжных должен являться обязательным. С этой целью в </w:t>
      </w:r>
      <w:hyperlink r:id="rId5" w:anchor="pos=3194;-162">
        <w:r w:rsidRPr="008B10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статью 631</w:t>
        </w:r>
      </w:hyperlink>
      <w:r w:rsidRPr="008B1082">
        <w:rPr>
          <w:rFonts w:ascii="Times New Roman" w:eastAsia="Times New Roman" w:hAnsi="Times New Roman" w:cs="Times New Roman"/>
          <w:sz w:val="28"/>
          <w:szCs w:val="28"/>
        </w:rPr>
        <w:t xml:space="preserve"> Уголовно-процессуальном кодекса внесены изменения, расширяющие сферу применения суда присяжных.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Рассмотрение уголовных дел судом с участием присяжных заседателей является важной составляющей дальнейших демократических преобразований. Конституционная норма о введении суда присяжных закреплена в 1998 году, а первое уголовное дело было рассмотрено Северо-Казахстанским областным судом уже в 2007 году.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С 1 января 2016 года расширен перечень дел, подсудных суду присяжных заседателей. Прежде они рассматривали дела о преступлениях, за совершение которых уголовным законом предусмотренысмертная казнь или пожизненное лишение свободы. В настоящее время в подсудность суду присяжныхотнесены также дела о преступлениях, предусмотренных частью третьей статьи 125 (похищение человека, совершенные преступной группой, либо с целью эксплуатации, либо повлекшие по неосторожности смерть потерпевшего или иные тяжкие последствия), частью четвертой статьи 128 (торговля людьми, совершенные преступной группой, либо с целью эксплуатации, либо повлекшие по неосторожности смерть потерпевшего или иные тяжкие последствия), частью пятой статьи 132 (вовлечение несовершеннолетнего в совершение уголовных правонарушений в преступную деятельность преступной группы), частью четвертой статьи 135 (торговля несовершеннолетними совершенные преступной группой, либо с целью эксплуатации, либо повлекшие по неосторожности смерть потерпевшего или иные тяжкие последствия) УК.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Указанный перечень уголовных дел относится к категории особо тяжких. Предоставление законодателем права на рассмотрение дела с участием присяжных заседателей является конституционной гарантией прав человека, в первую очередь, на доступ к справедливому правосудию.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Расширение суда присяжных способствует развитию демократических процессов в жизни общества, развитию принципов равенства, состязательности, гласности и повышению качества правосудия.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 xml:space="preserve">Выбор формы судопроизводства и рассмотрения дела с участием присяжным заседателей осуществляется по ходатайству подозреваемого, обвиняемого. Законом предоставлено право заявить соответствующее ходатайство, как на досудебной стадии при ознакомлении с материалами </w:t>
      </w:r>
      <w:r w:rsidRPr="008B1082">
        <w:rPr>
          <w:rFonts w:ascii="Times New Roman" w:eastAsia="Times New Roman" w:hAnsi="Times New Roman" w:cs="Times New Roman"/>
          <w:sz w:val="28"/>
          <w:szCs w:val="28"/>
        </w:rPr>
        <w:lastRenderedPageBreak/>
        <w:t>дела после окончания производства следственных действий, также на предварительном слушании дела в суде, до стадии назначения судом главного судебного разбирательства. Ходатайство может быть устным либо письменным. Таким образом, подозреваемый, обвиняемый и подсудимый сам выбирает форму судопроизводства по делу.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Следует отметить, что статьи 125 ч.3 п.2, 128 ч.4, 135 ч.4 УК, включенные в перечень дел, подсудных суду с участием присяжных заседателей относятся к квалифицированным видам преступлений, связанных с торговлей людьми, которое характеризуются высокой латентностью и представляют повышенную общественную опасность. Для их раскрытия необходимо отслеживание всей цепочки начиная с вербовки потерпевших, перемещения, передачи и дальнейшей эксплуатации. Основной проблемой в выявлении преступлений в сфере торговли людьми для органов уголовного преследования является идентификация жертв торговли людьми.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Так, на стадии вербовки и перевозки потерпевших сложно распознать торговлю людьми. На данных этапах потерпевшие, которые вовлекаются в эксплуатацию путем обмана, не предполагают о цели торговцев людьми.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Их преступные цели становятся явными только тогда, когда происходит непосредственная эксплуатация, в этот период потерпевшие зачастую лишены уже возможности самостоятельно обратиться в правоохранительные органы либо принять меры по противодействию эксплуатации.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Изучение уголовных дел показало, что преступления, связанные с торговлей людьми характеризуются их совершением преимущественно в соучастии: по предварительному сговору, организованной группой, поскольку сама структура преступных действий по торговле людьми состоит из отдельных звеньев: действий вербовщика, перевозчика, продавца, эксплуататора, которая требует надлежащую организацию преступных действий с применением технологических приемов управления: рекламы, принятия заказов, установления расценок, охраны, решения финансовых вопросов, то есть хорошо упорядоченной системы преступной деятельности.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При купле-продаже и совершении иных сделок в отношении людей наличие специальной цели значения не имеет, так как человек не является предметом сделки, и любые сделки в отношении человека носят противоправный характер с момент его заключения. Специальная цель - эксплуатация человека законодателем предусмотрена в качестве обязательного признака при вербовке, перевозке, передаче и укрывательстве.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B13" w:rsidRDefault="009F0B13"/>
    <w:sectPr w:rsidR="009F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3A"/>
    <w:rsid w:val="00150319"/>
    <w:rsid w:val="0017133A"/>
    <w:rsid w:val="001C7D85"/>
    <w:rsid w:val="005D3557"/>
    <w:rsid w:val="006134B6"/>
    <w:rsid w:val="00837BEC"/>
    <w:rsid w:val="009F0B13"/>
    <w:rsid w:val="00B4346E"/>
    <w:rsid w:val="00C53149"/>
    <w:rsid w:val="00C551E5"/>
    <w:rsid w:val="00C75072"/>
    <w:rsid w:val="00CD64AE"/>
    <w:rsid w:val="00E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149"/>
    <w:pPr>
      <w:spacing w:after="0"/>
    </w:pPr>
    <w:rPr>
      <w:rFonts w:ascii="Arial" w:eastAsia="Arial" w:hAnsi="Arial" w:cs="Arial"/>
      <w:color w:val="000000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149"/>
    <w:pPr>
      <w:spacing w:after="0"/>
    </w:pPr>
    <w:rPr>
      <w:rFonts w:ascii="Arial" w:eastAsia="Arial" w:hAnsi="Arial" w:cs="Arial"/>
      <w:color w:val="000000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31644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Керимбекова Мадина Нуркыдыровна</cp:lastModifiedBy>
  <cp:revision>7</cp:revision>
  <dcterms:created xsi:type="dcterms:W3CDTF">2016-09-14T04:23:00Z</dcterms:created>
  <dcterms:modified xsi:type="dcterms:W3CDTF">2016-09-15T06:28:00Z</dcterms:modified>
</cp:coreProperties>
</file>