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B1082">
        <w:rPr>
          <w:rFonts w:ascii="Times New Roman" w:eastAsia="Times New Roman" w:hAnsi="Times New Roman" w:cs="Times New Roman"/>
          <w:b/>
          <w:sz w:val="28"/>
          <w:szCs w:val="28"/>
        </w:rPr>
        <w:t xml:space="preserve">zakon.kz | </w:t>
      </w:r>
      <w:r w:rsidR="007F2DE1" w:rsidRPr="007F2DE1">
        <w:rPr>
          <w:rFonts w:ascii="Times New Roman" w:hAnsi="Times New Roman" w:cs="Times New Roman"/>
          <w:b/>
          <w:iCs/>
          <w:sz w:val="28"/>
          <w:szCs w:val="28"/>
        </w:rPr>
        <w:t>Лаура Агыбаева, судья Верховного Суда РК</w:t>
      </w:r>
      <w:r w:rsidR="007F2D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7F2DE1" w:rsidRPr="007F2DE1">
        <w:rPr>
          <w:rFonts w:ascii="Times New Roman" w:hAnsi="Times New Roman" w:cs="Times New Roman"/>
          <w:b/>
          <w:iCs/>
          <w:sz w:val="28"/>
          <w:szCs w:val="28"/>
          <w:lang w:val="ru-RU"/>
        </w:rPr>
        <w:t>«</w:t>
      </w:r>
      <w:r w:rsidRPr="008B1082">
        <w:rPr>
          <w:rFonts w:ascii="Times New Roman" w:eastAsia="Times New Roman" w:hAnsi="Times New Roman" w:cs="Times New Roman"/>
          <w:b/>
          <w:sz w:val="28"/>
          <w:szCs w:val="28"/>
        </w:rPr>
        <w:t>Судья ВС: Расширение суда присяжных способствует развитию демократических процессов в обществе</w:t>
      </w:r>
      <w:r w:rsidR="007F2D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EA58A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8B1082">
        <w:rPr>
          <w:rFonts w:ascii="Times New Roman" w:eastAsia="Times New Roman" w:hAnsi="Times New Roman" w:cs="Times New Roman"/>
          <w:b/>
          <w:sz w:val="28"/>
          <w:szCs w:val="28"/>
        </w:rPr>
        <w:t>13.09.2016</w:t>
      </w:r>
    </w:p>
    <w:bookmarkEnd w:id="0"/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В Казахстане за 6 месяцев 2016 года с участием присяжных заседателей было рассмотрено 42 дела, тогда как в 2015 году всего 25. Рост популярности института присяжных заседателей обеспечили прошедшие преобразования в судебной системе. 21 шагом Плана Нации по обеспечению верховенства закона предусмотрено расширение области применения суда присяжных путем законодательного закрепления категорий уголовных дел, по которым суд присяжных должен являться обязательным. С этой целью в </w:t>
      </w:r>
      <w:hyperlink r:id="rId5" w:anchor="pos=3194;-162">
        <w:r w:rsidRPr="008B10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статью 631</w:t>
        </w:r>
      </w:hyperlink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 Уголовно-процессуальном кодекса внесены изменения, расширяющие сферу применения суда присяжных.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Рассмотрение уголовных дел судом с участием присяжных заседателей является важной составляющей дальнейших демократических преобразований. Конституционная норма о введении суда присяжных закреплена в 1998 году, а первое уголовное дело было рассмотрено Северо-Казахстанским областным судом уже в 2007 году.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С 1 января 2016 года расширен перечень дел, подсудных суду присяжных заседателей. Прежде они рассматривали дела о преступлениях, за совершение которых уголовным законом предусмотренысмертная казнь или пожизненное лишение свободы. В настоящее время в подсудность суду присяжныхотнесены также дела о преступлениях, предусмотренных частью третьей статьи 125 (похищение человека, совершенные преступной группой, либо с целью эксплуатации, либо повлекшие по неосторожности смерть потерпевшего или иные тяжкие последствия), частью четвертой статьи 128 (торговля людьми, совершенные преступной группой, либо с целью эксплуатации, либо повлекшие по неосторожности смерть потерпевшего или иные тяжкие последствия), частью пятой статьи 132 (вовлечение несовершеннолетнего в совершение уголовных правонарушений в преступную деятельность преступной группы), частью четвертой статьи 135 (торговля несовершеннолетними совершенные преступной группой, либо с целью эксплуатации, либо повлекшие по неосторожности смерть потерпевшего или иные тяжкие последствия) УК.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Указанный перечень уголовных дел относится к категории особо тяжких. Предоставление законодателем права на рассмотрение дела с участием присяжных заседателей является конституционной гарантией прав человека, в первую очередь, на доступ к справедливому правосудию.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Расширение суда присяжных способствует развитию демократических процессов в жизни общества, развитию принципов равенства, состязательности, гласности и повышению качества правосудия.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 xml:space="preserve">Выбор формы судопроизводства и рассмотрения дела с участием присяжным заседателей осуществляется по ходатайству подозреваемого, обвиняемого. Законом предоставлено право заявить соответствующее ходатайство, как на досудебной стадии при ознакомлении с материалами дела после окончания производства следственных действий, также на </w:t>
      </w:r>
      <w:r w:rsidRPr="008B108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предварительном слушании дела в суде, до стадии назначения судом главного судебного разбирательства. Ходатайство может быть устным либо письменным. Таким образом, подозреваемый, обвиняемый и подсудимый сам выбирает форму судопроизводства по делу.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Следует отметить, что статьи 125 ч.3 п.2, 128 ч.4, 135 ч.4 УК, включенные в перечень дел, подсудных суду с участием присяжных заседателей относятся к квалифицированным видам преступлений, связанных с торговлей людьми, которое характеризуются высокой латентностью и представляют повышенную общественную опасность. Для их раскрытия необходимо отслеживание всей цепочки начиная с вербовки потерпевших, перемещения, передачи и дальнейшей эксплуатации. Основной проблемой в выявлении преступлений в сфере торговли людьми для органов уголовного преследования является идентификация жертв торговли людьми.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Так, на стадии вербовки и перевозки потерпевших сложно распознать торговлю людьми. На данных этапах потерпевшие, которые вовлекаются в эксплуатацию путем обмана, не предполагают о цели торговцев людьми.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Их преступные цели становятся явными только тогда, когда происходит непосредственная эксплуатация, в этот период потерпевшие зачастую лишены уже возможности самостоятельно обратиться в правоохранительные органы либо принять меры по противодействию эксплуатации.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Изучение уголовных дел показало, что преступления, связанные с торговлей людьми характеризуются их совершением преимущественно в соучастии: по предварительному сговору, организованной группой, поскольку сама структура преступных действий по торговле людьми состоит из отдельных звеньев: действий вербовщика, перевозчика, продавца, эксплуататора, которая требует надлежащую организацию преступных действий с применением технологических приемов управления: рекламы, принятия заказов, установления расценок, охраны, решения финансовых вопросов, то есть хорошо упорядоченной системы преступной деятельности.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B1082">
        <w:rPr>
          <w:rFonts w:ascii="Times New Roman" w:eastAsia="Times New Roman" w:hAnsi="Times New Roman" w:cs="Times New Roman"/>
          <w:sz w:val="28"/>
          <w:szCs w:val="28"/>
        </w:rPr>
        <w:t>При купле-продаже и совершении иных сделок в отношении людей наличие специальной цели значения не имеет, так как человек не является предметом сделки, и любые сделки в отношении человека носят противоправный характер с момент его заключения. Специальная цель - эксплуатация человека законодателем предусмотрена в качестве обязательного признака при вербовке, перевозке, передаче и укрывательстве.</w:t>
      </w:r>
    </w:p>
    <w:p w:rsidR="00C53149" w:rsidRPr="008B1082" w:rsidRDefault="00C53149" w:rsidP="00C53149">
      <w:pPr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B13" w:rsidRDefault="009F0B13"/>
    <w:sectPr w:rsidR="009F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3A"/>
    <w:rsid w:val="0017133A"/>
    <w:rsid w:val="001C7D85"/>
    <w:rsid w:val="005D3557"/>
    <w:rsid w:val="007F2DE1"/>
    <w:rsid w:val="00837BEC"/>
    <w:rsid w:val="009F0B13"/>
    <w:rsid w:val="00B4346E"/>
    <w:rsid w:val="00C53149"/>
    <w:rsid w:val="00CD64AE"/>
    <w:rsid w:val="00E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49"/>
    <w:pPr>
      <w:spacing w:after="0"/>
    </w:pPr>
    <w:rPr>
      <w:rFonts w:ascii="Arial" w:eastAsia="Arial" w:hAnsi="Arial" w:cs="Arial"/>
      <w:color w:val="00000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149"/>
    <w:pPr>
      <w:spacing w:after="0"/>
    </w:pPr>
    <w:rPr>
      <w:rFonts w:ascii="Arial" w:eastAsia="Arial" w:hAnsi="Arial" w:cs="Arial"/>
      <w:color w:val="000000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1644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5</cp:revision>
  <dcterms:created xsi:type="dcterms:W3CDTF">2016-09-14T04:23:00Z</dcterms:created>
  <dcterms:modified xsi:type="dcterms:W3CDTF">2016-09-30T12:04:00Z</dcterms:modified>
</cp:coreProperties>
</file>