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19" w:rsidRDefault="00C53B19" w:rsidP="00C53B1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0DB4361" wp14:editId="56B4D13B">
            <wp:extent cx="4261485" cy="257302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3B19" w:rsidRPr="00155BA9" w:rsidRDefault="00C53B19" w:rsidP="00C53B19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</w:p>
    <w:p w:rsidR="00C53B19" w:rsidRDefault="00C53B19" w:rsidP="00C53B1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53B19" w:rsidRDefault="00C53B19" w:rsidP="00C53B1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155BA9" w:rsidRDefault="00155BA9" w:rsidP="00C53B1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53B19" w:rsidRDefault="00C53B19" w:rsidP="00C53B1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53B19" w:rsidRPr="005A10C1" w:rsidRDefault="00C725F0" w:rsidP="00C53B1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Справка о р</w:t>
      </w:r>
      <w:r w:rsidR="00C53B19">
        <w:rPr>
          <w:rFonts w:ascii="Arial" w:hAnsi="Arial" w:cs="Arial"/>
          <w:b/>
          <w:sz w:val="36"/>
          <w:szCs w:val="36"/>
        </w:rPr>
        <w:t>езультат</w:t>
      </w:r>
      <w:r>
        <w:rPr>
          <w:rFonts w:ascii="Arial" w:hAnsi="Arial" w:cs="Arial"/>
          <w:b/>
          <w:sz w:val="36"/>
          <w:szCs w:val="36"/>
        </w:rPr>
        <w:t>ах</w:t>
      </w:r>
      <w:r w:rsidR="00C53B19">
        <w:rPr>
          <w:rFonts w:ascii="Arial" w:hAnsi="Arial" w:cs="Arial"/>
          <w:b/>
          <w:sz w:val="36"/>
          <w:szCs w:val="36"/>
        </w:rPr>
        <w:t xml:space="preserve"> обобщения </w:t>
      </w:r>
      <w:r w:rsidR="00C53B19" w:rsidRPr="005A10C1">
        <w:rPr>
          <w:rFonts w:ascii="Arial" w:hAnsi="Arial" w:cs="Arial"/>
          <w:b/>
          <w:sz w:val="36"/>
          <w:szCs w:val="36"/>
        </w:rPr>
        <w:t>судебной практики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53B19" w:rsidRPr="005A10C1">
        <w:rPr>
          <w:rFonts w:ascii="Arial" w:hAnsi="Arial" w:cs="Arial"/>
          <w:b/>
          <w:sz w:val="36"/>
          <w:szCs w:val="36"/>
        </w:rPr>
        <w:t xml:space="preserve">применения норм процессуального законодательства о пересмотре дел по вновь открывшимся обстоятельствам </w:t>
      </w:r>
    </w:p>
    <w:p w:rsidR="00C53B19" w:rsidRPr="005A10C1" w:rsidRDefault="00C53B19" w:rsidP="00C53B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53B19" w:rsidRDefault="00C53B19" w:rsidP="00C53B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B19" w:rsidRDefault="00C53B19" w:rsidP="00C53B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B19" w:rsidRDefault="00C53B19" w:rsidP="00C53B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B19" w:rsidRDefault="00C53B19" w:rsidP="00C53B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B19" w:rsidRDefault="00C53B19" w:rsidP="00C53B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B19" w:rsidRDefault="00C53B19" w:rsidP="00C53B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B19" w:rsidRDefault="00C53B19" w:rsidP="00C53B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B19" w:rsidRDefault="00C53B19" w:rsidP="00C53B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B19" w:rsidRDefault="00C53B19" w:rsidP="00C53B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B19" w:rsidRDefault="00C53B19" w:rsidP="00C53B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B19" w:rsidRDefault="00C53B19" w:rsidP="00C53B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B19" w:rsidRDefault="00C53B19" w:rsidP="00C53B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B19" w:rsidRDefault="00C53B19" w:rsidP="00C53B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B19" w:rsidRPr="00AD63CB" w:rsidRDefault="00C53B19" w:rsidP="00C53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B19" w:rsidRPr="00AD63CB" w:rsidRDefault="00C53B19" w:rsidP="00C53B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Верховный Суд Республики Казахстан</w:t>
      </w:r>
    </w:p>
    <w:p w:rsidR="00C53B19" w:rsidRPr="00AD63CB" w:rsidRDefault="00C53B19" w:rsidP="00C53B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53B19" w:rsidRPr="00AD63CB" w:rsidRDefault="00C53B19" w:rsidP="00C53B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D63CB">
        <w:rPr>
          <w:rFonts w:ascii="Arial" w:hAnsi="Arial" w:cs="Arial"/>
          <w:b/>
          <w:sz w:val="28"/>
          <w:szCs w:val="28"/>
        </w:rPr>
        <w:t>Астана, 2014 г.</w:t>
      </w:r>
    </w:p>
    <w:p w:rsidR="00627944" w:rsidRDefault="00C711BA"/>
    <w:p w:rsidR="00C725F0" w:rsidRDefault="00C725F0" w:rsidP="00C53B1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C53B19" w:rsidRPr="00AD63CB" w:rsidRDefault="00C53B19" w:rsidP="00C53B1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AD63CB">
        <w:rPr>
          <w:rFonts w:ascii="Arial" w:hAnsi="Arial" w:cs="Arial"/>
          <w:sz w:val="28"/>
          <w:szCs w:val="28"/>
        </w:rPr>
        <w:t>Основными нормативными правовыми актами, подлежащими применению при</w:t>
      </w:r>
      <w:r>
        <w:rPr>
          <w:rFonts w:ascii="Arial" w:hAnsi="Arial" w:cs="Arial"/>
          <w:sz w:val="28"/>
          <w:szCs w:val="28"/>
        </w:rPr>
        <w:t xml:space="preserve"> пересмотре</w:t>
      </w:r>
      <w:r w:rsidRPr="00AD63CB">
        <w:rPr>
          <w:rFonts w:ascii="Arial" w:hAnsi="Arial" w:cs="Arial"/>
          <w:sz w:val="28"/>
          <w:szCs w:val="28"/>
        </w:rPr>
        <w:t xml:space="preserve"> дел </w:t>
      </w:r>
      <w:r>
        <w:rPr>
          <w:rFonts w:ascii="Arial" w:hAnsi="Arial" w:cs="Arial"/>
          <w:sz w:val="28"/>
          <w:szCs w:val="28"/>
        </w:rPr>
        <w:t xml:space="preserve">по вновь открывшимся обстоятельствам, </w:t>
      </w:r>
      <w:r w:rsidRPr="00AD63CB">
        <w:rPr>
          <w:rFonts w:ascii="Arial" w:hAnsi="Arial" w:cs="Arial"/>
          <w:sz w:val="28"/>
          <w:szCs w:val="28"/>
        </w:rPr>
        <w:t xml:space="preserve">являются  Конституция Республики Казахстан, </w:t>
      </w:r>
      <w:r w:rsidRPr="00AD63CB">
        <w:rPr>
          <w:rFonts w:ascii="Arial" w:hAnsi="Arial" w:cs="Arial"/>
          <w:color w:val="000000"/>
          <w:sz w:val="28"/>
          <w:szCs w:val="28"/>
        </w:rPr>
        <w:t>глав</w:t>
      </w:r>
      <w:r>
        <w:rPr>
          <w:rFonts w:ascii="Arial" w:hAnsi="Arial" w:cs="Arial"/>
          <w:color w:val="000000"/>
          <w:sz w:val="28"/>
          <w:szCs w:val="28"/>
        </w:rPr>
        <w:t>а</w:t>
      </w:r>
      <w:r w:rsidRPr="00AD63CB">
        <w:rPr>
          <w:rFonts w:ascii="Arial" w:hAnsi="Arial" w:cs="Arial"/>
          <w:color w:val="000000"/>
          <w:sz w:val="28"/>
          <w:szCs w:val="28"/>
        </w:rPr>
        <w:t xml:space="preserve"> 44 Гражданского процессуального кодекса </w:t>
      </w:r>
      <w:r w:rsidRPr="00AD63CB">
        <w:rPr>
          <w:rFonts w:ascii="Arial" w:hAnsi="Arial" w:cs="Arial"/>
          <w:sz w:val="28"/>
          <w:szCs w:val="28"/>
        </w:rPr>
        <w:t>Республики Казахстан</w:t>
      </w:r>
      <w:r w:rsidRPr="00AD63CB">
        <w:rPr>
          <w:rFonts w:ascii="Arial" w:hAnsi="Arial" w:cs="Arial"/>
          <w:i/>
          <w:color w:val="000000"/>
          <w:sz w:val="28"/>
          <w:szCs w:val="28"/>
        </w:rPr>
        <w:t xml:space="preserve">, </w:t>
      </w:r>
      <w:r w:rsidRPr="00AD63CB">
        <w:rPr>
          <w:rFonts w:ascii="Arial" w:hAnsi="Arial" w:cs="Arial"/>
          <w:color w:val="000000"/>
          <w:sz w:val="28"/>
          <w:szCs w:val="28"/>
        </w:rPr>
        <w:t>а</w:t>
      </w:r>
      <w:r>
        <w:rPr>
          <w:rFonts w:ascii="Arial" w:hAnsi="Arial" w:cs="Arial"/>
          <w:color w:val="000000"/>
          <w:sz w:val="28"/>
          <w:szCs w:val="28"/>
        </w:rPr>
        <w:t xml:space="preserve"> также </w:t>
      </w:r>
      <w:r w:rsidRPr="00AD63CB">
        <w:rPr>
          <w:rFonts w:ascii="Arial" w:hAnsi="Arial" w:cs="Arial"/>
          <w:color w:val="000000"/>
          <w:sz w:val="28"/>
          <w:szCs w:val="28"/>
        </w:rPr>
        <w:t>Нормативно</w:t>
      </w:r>
      <w:r>
        <w:rPr>
          <w:rFonts w:ascii="Arial" w:hAnsi="Arial" w:cs="Arial"/>
          <w:color w:val="000000"/>
          <w:sz w:val="28"/>
          <w:szCs w:val="28"/>
        </w:rPr>
        <w:t>е</w:t>
      </w:r>
      <w:r w:rsidRPr="00AD63CB">
        <w:rPr>
          <w:rFonts w:ascii="Arial" w:hAnsi="Arial" w:cs="Arial"/>
          <w:color w:val="000000"/>
          <w:sz w:val="28"/>
          <w:szCs w:val="28"/>
        </w:rPr>
        <w:t xml:space="preserve"> постановлени</w:t>
      </w:r>
      <w:r>
        <w:rPr>
          <w:rFonts w:ascii="Arial" w:hAnsi="Arial" w:cs="Arial"/>
          <w:color w:val="000000"/>
          <w:sz w:val="28"/>
          <w:szCs w:val="28"/>
        </w:rPr>
        <w:t>е</w:t>
      </w:r>
      <w:r w:rsidRPr="00AD63CB">
        <w:rPr>
          <w:rFonts w:ascii="Arial" w:hAnsi="Arial" w:cs="Arial"/>
          <w:color w:val="000000"/>
          <w:sz w:val="28"/>
          <w:szCs w:val="28"/>
        </w:rPr>
        <w:t xml:space="preserve"> Верховного Суда </w:t>
      </w:r>
      <w:r w:rsidRPr="00AD63CB">
        <w:rPr>
          <w:rFonts w:ascii="Arial" w:hAnsi="Arial" w:cs="Arial"/>
          <w:sz w:val="28"/>
          <w:szCs w:val="28"/>
        </w:rPr>
        <w:t xml:space="preserve">Республики Казахстан </w:t>
      </w:r>
      <w:r w:rsidRPr="00AD63CB">
        <w:rPr>
          <w:rFonts w:ascii="Arial" w:hAnsi="Arial" w:cs="Arial"/>
          <w:color w:val="000000"/>
          <w:sz w:val="28"/>
          <w:szCs w:val="28"/>
        </w:rPr>
        <w:t>от 25 декабря 2007 года № 12 «О некоторых   вопросах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AD63CB">
        <w:rPr>
          <w:rFonts w:ascii="Arial" w:hAnsi="Arial" w:cs="Arial"/>
          <w:color w:val="000000"/>
          <w:sz w:val="28"/>
          <w:szCs w:val="28"/>
        </w:rPr>
        <w:t xml:space="preserve"> пересмотра судебных актов по гражданским делам по вновь открывшимся обстоятельствам» </w:t>
      </w:r>
      <w:r w:rsidRPr="00AD63CB">
        <w:rPr>
          <w:rFonts w:ascii="Arial" w:hAnsi="Arial" w:cs="Arial"/>
          <w:i/>
          <w:sz w:val="28"/>
          <w:szCs w:val="28"/>
        </w:rPr>
        <w:t>(далее – Нормативное постановление)</w:t>
      </w:r>
      <w:r w:rsidRPr="00AD63CB">
        <w:rPr>
          <w:rFonts w:ascii="Arial" w:hAnsi="Arial" w:cs="Arial"/>
          <w:i/>
          <w:color w:val="000000"/>
          <w:sz w:val="28"/>
          <w:szCs w:val="28"/>
        </w:rPr>
        <w:t>.</w:t>
      </w:r>
      <w:proofErr w:type="gramEnd"/>
    </w:p>
    <w:p w:rsidR="00C53B19" w:rsidRPr="00AD63CB" w:rsidRDefault="00C53B19" w:rsidP="00C53B19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AD63CB">
        <w:rPr>
          <w:rFonts w:ascii="Arial" w:hAnsi="Arial" w:cs="Arial"/>
          <w:color w:val="000000"/>
          <w:sz w:val="28"/>
          <w:szCs w:val="28"/>
        </w:rPr>
        <w:t xml:space="preserve">В соответствии с пунктом 1 Нормативного постановления производство по пересмотру судебных актов по гражданским делам по вновь открывшимся обстоятельствам является самостоятельной стадией гражданского процесса, в которой судом проверяется наличие или отсутствие правовых оснований для пересмотра по вновь открывшимся обстоятельствам вступивших в законную силу судебных актов.  </w:t>
      </w:r>
    </w:p>
    <w:p w:rsidR="00C53B19" w:rsidRPr="00AD63CB" w:rsidRDefault="00C53B19" w:rsidP="00C53B19">
      <w:pPr>
        <w:tabs>
          <w:tab w:val="left" w:pos="360"/>
          <w:tab w:val="left" w:pos="7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63CB">
        <w:rPr>
          <w:rFonts w:ascii="Arial" w:hAnsi="Arial" w:cs="Arial"/>
          <w:sz w:val="28"/>
          <w:szCs w:val="28"/>
        </w:rPr>
        <w:tab/>
      </w:r>
      <w:r w:rsidRPr="00AD63CB">
        <w:rPr>
          <w:rFonts w:ascii="Arial" w:hAnsi="Arial" w:cs="Arial"/>
          <w:sz w:val="28"/>
          <w:szCs w:val="28"/>
        </w:rPr>
        <w:tab/>
        <w:t>В 2013 году согласно данным Е</w:t>
      </w:r>
      <w:r>
        <w:rPr>
          <w:rFonts w:ascii="Arial" w:hAnsi="Arial" w:cs="Arial"/>
          <w:sz w:val="28"/>
          <w:szCs w:val="28"/>
        </w:rPr>
        <w:t>диной автоматизированной информационно-аналитической системы судебных органов (Е</w:t>
      </w:r>
      <w:r w:rsidRPr="00AD63CB">
        <w:rPr>
          <w:rFonts w:ascii="Arial" w:hAnsi="Arial" w:cs="Arial"/>
          <w:sz w:val="28"/>
          <w:szCs w:val="28"/>
        </w:rPr>
        <w:t>АИАС</w:t>
      </w:r>
      <w:r>
        <w:rPr>
          <w:rFonts w:ascii="Arial" w:hAnsi="Arial" w:cs="Arial"/>
          <w:sz w:val="28"/>
          <w:szCs w:val="28"/>
        </w:rPr>
        <w:t xml:space="preserve">), подтвержденным информациями областных судов, </w:t>
      </w:r>
      <w:r w:rsidRPr="00AD63CB">
        <w:rPr>
          <w:rFonts w:ascii="Arial" w:hAnsi="Arial" w:cs="Arial"/>
          <w:sz w:val="28"/>
          <w:szCs w:val="28"/>
        </w:rPr>
        <w:t xml:space="preserve">всего поступило в суды республики </w:t>
      </w:r>
      <w:r w:rsidRPr="00C34409">
        <w:rPr>
          <w:rFonts w:ascii="Arial" w:hAnsi="Arial" w:cs="Arial"/>
          <w:b/>
          <w:sz w:val="28"/>
          <w:szCs w:val="28"/>
        </w:rPr>
        <w:t>3 827</w:t>
      </w:r>
      <w:r w:rsidRPr="00AD63CB">
        <w:rPr>
          <w:rFonts w:ascii="Arial" w:hAnsi="Arial" w:cs="Arial"/>
          <w:sz w:val="28"/>
          <w:szCs w:val="28"/>
        </w:rPr>
        <w:t xml:space="preserve"> заявлений о пересмотре судебного акта по вновь открывшимся обстоятельствам</w:t>
      </w:r>
      <w:r>
        <w:rPr>
          <w:rFonts w:ascii="Arial" w:hAnsi="Arial" w:cs="Arial"/>
          <w:sz w:val="28"/>
          <w:szCs w:val="28"/>
        </w:rPr>
        <w:t xml:space="preserve">, что выше  аналогичного показателя 2012  года на 519 или 15,7%. </w:t>
      </w:r>
      <w:r w:rsidRPr="00AD63CB">
        <w:rPr>
          <w:rFonts w:ascii="Arial" w:hAnsi="Arial" w:cs="Arial"/>
          <w:sz w:val="28"/>
          <w:szCs w:val="28"/>
        </w:rPr>
        <w:t xml:space="preserve"> </w:t>
      </w:r>
    </w:p>
    <w:p w:rsidR="00C53B19" w:rsidRDefault="00C53B19" w:rsidP="00C53B1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63CB">
        <w:rPr>
          <w:rFonts w:ascii="Arial" w:hAnsi="Arial" w:cs="Arial"/>
          <w:sz w:val="28"/>
          <w:szCs w:val="28"/>
        </w:rPr>
        <w:tab/>
        <w:t>Из</w:t>
      </w:r>
      <w:r>
        <w:rPr>
          <w:rFonts w:ascii="Arial" w:hAnsi="Arial" w:cs="Arial"/>
          <w:sz w:val="28"/>
          <w:szCs w:val="28"/>
        </w:rPr>
        <w:t xml:space="preserve"> числа поступивших заявлений, </w:t>
      </w:r>
      <w:r w:rsidRPr="00C34409">
        <w:rPr>
          <w:rFonts w:ascii="Arial" w:hAnsi="Arial" w:cs="Arial"/>
          <w:b/>
          <w:sz w:val="28"/>
          <w:szCs w:val="28"/>
        </w:rPr>
        <w:t xml:space="preserve">3538 </w:t>
      </w:r>
      <w:r w:rsidRPr="002740E6">
        <w:rPr>
          <w:rFonts w:ascii="Arial" w:hAnsi="Arial" w:cs="Arial"/>
          <w:sz w:val="28"/>
          <w:szCs w:val="28"/>
        </w:rPr>
        <w:t>были поданы  в</w:t>
      </w:r>
      <w:r w:rsidRPr="00AD63CB">
        <w:rPr>
          <w:rFonts w:ascii="Arial" w:hAnsi="Arial" w:cs="Arial"/>
          <w:sz w:val="28"/>
          <w:szCs w:val="28"/>
        </w:rPr>
        <w:t xml:space="preserve"> суды первой инстанции, </w:t>
      </w:r>
      <w:r w:rsidRPr="00C34409">
        <w:rPr>
          <w:rFonts w:ascii="Arial" w:hAnsi="Arial" w:cs="Arial"/>
          <w:b/>
          <w:sz w:val="28"/>
          <w:szCs w:val="28"/>
        </w:rPr>
        <w:t>225</w:t>
      </w:r>
      <w:r w:rsidRPr="00AD63CB">
        <w:rPr>
          <w:rFonts w:ascii="Arial" w:hAnsi="Arial" w:cs="Arial"/>
          <w:sz w:val="28"/>
          <w:szCs w:val="28"/>
        </w:rPr>
        <w:t xml:space="preserve"> – в суды апелляционной инстанции, </w:t>
      </w:r>
      <w:r w:rsidRPr="00C34409">
        <w:rPr>
          <w:rFonts w:ascii="Arial" w:hAnsi="Arial" w:cs="Arial"/>
          <w:b/>
          <w:sz w:val="28"/>
          <w:szCs w:val="28"/>
        </w:rPr>
        <w:t xml:space="preserve">62 </w:t>
      </w:r>
      <w:r w:rsidRPr="00AD63CB">
        <w:rPr>
          <w:rFonts w:ascii="Arial" w:hAnsi="Arial" w:cs="Arial"/>
          <w:sz w:val="28"/>
          <w:szCs w:val="28"/>
        </w:rPr>
        <w:t xml:space="preserve">– в кассационные коллегии и </w:t>
      </w:r>
      <w:r w:rsidRPr="00C34409">
        <w:rPr>
          <w:rFonts w:ascii="Arial" w:hAnsi="Arial" w:cs="Arial"/>
          <w:b/>
          <w:sz w:val="28"/>
          <w:szCs w:val="28"/>
        </w:rPr>
        <w:t xml:space="preserve">2 </w:t>
      </w:r>
      <w:r w:rsidRPr="00AD63CB">
        <w:rPr>
          <w:rFonts w:ascii="Arial" w:hAnsi="Arial" w:cs="Arial"/>
          <w:sz w:val="28"/>
          <w:szCs w:val="28"/>
        </w:rPr>
        <w:t>– в порядке надзора в Верховный Суд.</w:t>
      </w:r>
    </w:p>
    <w:p w:rsidR="00C53B19" w:rsidRPr="00AD63CB" w:rsidRDefault="00C53B19" w:rsidP="00C725F0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По сравнению с 2012 годом, ч</w:t>
      </w:r>
      <w:r w:rsidRPr="00AD63CB">
        <w:rPr>
          <w:rFonts w:ascii="Arial" w:eastAsia="Calibri" w:hAnsi="Arial" w:cs="Arial"/>
          <w:sz w:val="28"/>
          <w:szCs w:val="28"/>
        </w:rPr>
        <w:t xml:space="preserve">исло поступивших в суды первой инстанции заявлений </w:t>
      </w:r>
      <w:r>
        <w:rPr>
          <w:rFonts w:ascii="Arial" w:eastAsia="Calibri" w:hAnsi="Arial" w:cs="Arial"/>
          <w:sz w:val="28"/>
          <w:szCs w:val="28"/>
        </w:rPr>
        <w:t xml:space="preserve">о пересмотре дел по данному основанию </w:t>
      </w:r>
      <w:r w:rsidRPr="00AD63CB">
        <w:rPr>
          <w:rFonts w:ascii="Arial" w:eastAsia="Calibri" w:hAnsi="Arial" w:cs="Arial"/>
          <w:sz w:val="28"/>
          <w:szCs w:val="28"/>
        </w:rPr>
        <w:t xml:space="preserve">  возросло на 17%.</w:t>
      </w:r>
    </w:p>
    <w:p w:rsidR="00C53B19" w:rsidRDefault="00C53B19"/>
    <w:p w:rsidR="00C53B19" w:rsidRDefault="00C53B19"/>
    <w:p w:rsidR="00C53B19" w:rsidRDefault="00C53B19">
      <w:r>
        <w:rPr>
          <w:noProof/>
          <w:lang w:eastAsia="ru-RU"/>
        </w:rPr>
        <w:lastRenderedPageBreak/>
        <w:drawing>
          <wp:inline distT="0" distB="0" distL="0" distR="0" wp14:anchorId="5E535589" wp14:editId="3E055544">
            <wp:extent cx="5924550" cy="43148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3B19" w:rsidRDefault="00C53B19" w:rsidP="00C53B19">
      <w:pPr>
        <w:jc w:val="center"/>
      </w:pPr>
      <w:r w:rsidRPr="00AD63CB">
        <w:rPr>
          <w:rFonts w:ascii="Arial" w:eastAsia="Calibri" w:hAnsi="Arial" w:cs="Arial"/>
          <w:b/>
          <w:sz w:val="28"/>
          <w:szCs w:val="28"/>
        </w:rPr>
        <w:t>Количество заявлений о пересмотре судебного акта по вновь открывшимся обстоятельствам</w:t>
      </w:r>
      <w:r>
        <w:rPr>
          <w:rFonts w:ascii="Arial" w:eastAsia="Calibri" w:hAnsi="Arial" w:cs="Arial"/>
          <w:b/>
          <w:sz w:val="28"/>
          <w:szCs w:val="28"/>
        </w:rPr>
        <w:t>,</w:t>
      </w:r>
      <w:r w:rsidRPr="00AD63CB">
        <w:rPr>
          <w:rFonts w:ascii="Arial" w:eastAsia="Calibri" w:hAnsi="Arial" w:cs="Arial"/>
          <w:b/>
          <w:sz w:val="28"/>
          <w:szCs w:val="28"/>
        </w:rPr>
        <w:t xml:space="preserve"> поступивших в суды первой инстанции</w:t>
      </w:r>
    </w:p>
    <w:p w:rsidR="00C53B19" w:rsidRDefault="00C53B19">
      <w:r>
        <w:rPr>
          <w:noProof/>
          <w:lang w:eastAsia="ru-RU"/>
        </w:rPr>
        <w:drawing>
          <wp:inline distT="0" distB="0" distL="0" distR="0" wp14:anchorId="1877249B" wp14:editId="2DC4016A">
            <wp:extent cx="5924550" cy="34766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3B19" w:rsidRDefault="00C53B19"/>
    <w:p w:rsidR="00C53B19" w:rsidRDefault="00C53B19">
      <w:r w:rsidRPr="00AD63CB">
        <w:rPr>
          <w:rFonts w:ascii="Arial" w:eastAsia="Calibri" w:hAnsi="Arial" w:cs="Arial"/>
          <w:b/>
          <w:sz w:val="28"/>
          <w:szCs w:val="28"/>
        </w:rPr>
        <w:lastRenderedPageBreak/>
        <w:t>В разрезе регионов  эти данные выглядят следующим образом:</w:t>
      </w:r>
    </w:p>
    <w:p w:rsidR="00C53B19" w:rsidRDefault="00C53B19">
      <w:r>
        <w:rPr>
          <w:noProof/>
          <w:lang w:eastAsia="ru-RU"/>
        </w:rPr>
        <w:drawing>
          <wp:inline distT="0" distB="0" distL="0" distR="0" wp14:anchorId="79BDCB06" wp14:editId="0122A66F">
            <wp:extent cx="5932805" cy="8324850"/>
            <wp:effectExtent l="0" t="0" r="1079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3B19" w:rsidRDefault="00C53B19"/>
    <w:p w:rsidR="00C53B19" w:rsidRPr="006B0660" w:rsidRDefault="00C53B19" w:rsidP="00C53B19">
      <w:pPr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>Таким образом, н</w:t>
      </w:r>
      <w:r w:rsidRPr="006B0660">
        <w:rPr>
          <w:rFonts w:ascii="Arial" w:eastAsia="Calibri" w:hAnsi="Arial" w:cs="Arial"/>
          <w:sz w:val="28"/>
          <w:szCs w:val="28"/>
        </w:rPr>
        <w:t xml:space="preserve">аибольшее </w:t>
      </w:r>
      <w:r>
        <w:rPr>
          <w:rFonts w:ascii="Arial" w:eastAsia="Calibri" w:hAnsi="Arial" w:cs="Arial"/>
          <w:sz w:val="28"/>
          <w:szCs w:val="28"/>
        </w:rPr>
        <w:t xml:space="preserve">число таких </w:t>
      </w:r>
      <w:r w:rsidRPr="006B0660">
        <w:rPr>
          <w:rFonts w:ascii="Arial" w:eastAsia="Calibri" w:hAnsi="Arial" w:cs="Arial"/>
          <w:sz w:val="28"/>
          <w:szCs w:val="28"/>
        </w:rPr>
        <w:t>заявлений поступило в суды Карагандинской области (518), Южно-Казахстанской области (443), города Алматы (427)</w:t>
      </w:r>
      <w:r>
        <w:rPr>
          <w:rFonts w:ascii="Arial" w:eastAsia="Calibri" w:hAnsi="Arial" w:cs="Arial"/>
          <w:sz w:val="28"/>
          <w:szCs w:val="28"/>
        </w:rPr>
        <w:t xml:space="preserve"> и </w:t>
      </w:r>
      <w:r w:rsidRPr="006B066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6B0660">
        <w:rPr>
          <w:rFonts w:ascii="Arial" w:eastAsia="Calibri" w:hAnsi="Arial" w:cs="Arial"/>
          <w:sz w:val="28"/>
          <w:szCs w:val="28"/>
        </w:rPr>
        <w:t>Алматинской</w:t>
      </w:r>
      <w:proofErr w:type="spellEnd"/>
      <w:r w:rsidRPr="006B0660">
        <w:rPr>
          <w:rFonts w:ascii="Arial" w:eastAsia="Calibri" w:hAnsi="Arial" w:cs="Arial"/>
          <w:sz w:val="28"/>
          <w:szCs w:val="28"/>
        </w:rPr>
        <w:t xml:space="preserve"> области (324)</w:t>
      </w:r>
      <w:r>
        <w:rPr>
          <w:rFonts w:ascii="Arial" w:eastAsia="Calibri" w:hAnsi="Arial" w:cs="Arial"/>
          <w:sz w:val="28"/>
          <w:szCs w:val="28"/>
        </w:rPr>
        <w:t>.</w:t>
      </w:r>
    </w:p>
    <w:p w:rsidR="00C53B19" w:rsidRPr="006B0660" w:rsidRDefault="00C53B19" w:rsidP="00C53B19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6B0660">
        <w:rPr>
          <w:rFonts w:ascii="Arial" w:eastAsia="Calibri" w:hAnsi="Arial" w:cs="Arial"/>
          <w:sz w:val="28"/>
          <w:szCs w:val="28"/>
        </w:rPr>
        <w:t xml:space="preserve">         Напротив, наименьшее число таких </w:t>
      </w:r>
      <w:r>
        <w:rPr>
          <w:rFonts w:ascii="Arial" w:eastAsia="Calibri" w:hAnsi="Arial" w:cs="Arial"/>
          <w:sz w:val="28"/>
          <w:szCs w:val="28"/>
        </w:rPr>
        <w:t xml:space="preserve">обращений </w:t>
      </w:r>
      <w:r w:rsidRPr="006B0660">
        <w:rPr>
          <w:rFonts w:ascii="Arial" w:eastAsia="Calibri" w:hAnsi="Arial" w:cs="Arial"/>
          <w:sz w:val="28"/>
          <w:szCs w:val="28"/>
        </w:rPr>
        <w:t xml:space="preserve">в суды </w:t>
      </w:r>
      <w:proofErr w:type="spellStart"/>
      <w:r w:rsidRPr="006B0660">
        <w:rPr>
          <w:rFonts w:ascii="Arial" w:eastAsia="Calibri" w:hAnsi="Arial" w:cs="Arial"/>
          <w:sz w:val="28"/>
          <w:szCs w:val="28"/>
        </w:rPr>
        <w:t>Мангистауской</w:t>
      </w:r>
      <w:proofErr w:type="spellEnd"/>
      <w:r w:rsidRPr="006B0660">
        <w:rPr>
          <w:rFonts w:ascii="Arial" w:eastAsia="Calibri" w:hAnsi="Arial" w:cs="Arial"/>
          <w:sz w:val="28"/>
          <w:szCs w:val="28"/>
        </w:rPr>
        <w:t xml:space="preserve"> (68)</w:t>
      </w:r>
      <w:r>
        <w:rPr>
          <w:rFonts w:ascii="Arial" w:eastAsia="Calibri" w:hAnsi="Arial" w:cs="Arial"/>
          <w:sz w:val="28"/>
          <w:szCs w:val="28"/>
        </w:rPr>
        <w:t xml:space="preserve"> и </w:t>
      </w:r>
      <w:r w:rsidRPr="006B0660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6B0660">
        <w:rPr>
          <w:rFonts w:ascii="Arial" w:eastAsia="Calibri" w:hAnsi="Arial" w:cs="Arial"/>
          <w:sz w:val="28"/>
          <w:szCs w:val="28"/>
        </w:rPr>
        <w:t>Атырауской</w:t>
      </w:r>
      <w:proofErr w:type="spellEnd"/>
      <w:r w:rsidRPr="006B0660">
        <w:rPr>
          <w:rFonts w:ascii="Arial" w:eastAsia="Calibri" w:hAnsi="Arial" w:cs="Arial"/>
          <w:sz w:val="28"/>
          <w:szCs w:val="28"/>
        </w:rPr>
        <w:t xml:space="preserve"> (76) областей.</w:t>
      </w:r>
    </w:p>
    <w:p w:rsidR="00C53B19" w:rsidRDefault="00C53B19" w:rsidP="00C53B19">
      <w:pPr>
        <w:spacing w:after="0" w:line="240" w:lineRule="auto"/>
        <w:ind w:firstLine="708"/>
        <w:jc w:val="both"/>
        <w:rPr>
          <w:rFonts w:ascii="Arial" w:hAnsi="Arial" w:cs="Arial"/>
          <w:noProof/>
          <w:sz w:val="28"/>
          <w:szCs w:val="28"/>
          <w:lang w:eastAsia="ru-RU"/>
        </w:rPr>
      </w:pPr>
      <w:proofErr w:type="gramStart"/>
      <w:r w:rsidRPr="006F4C5E">
        <w:rPr>
          <w:rFonts w:ascii="Arial" w:hAnsi="Arial" w:cs="Arial"/>
          <w:noProof/>
          <w:sz w:val="28"/>
          <w:szCs w:val="28"/>
          <w:lang w:eastAsia="ru-RU"/>
        </w:rPr>
        <w:t xml:space="preserve">По результатам рассмотрения 1824 заявления или 51,5% от общего числа поступивших возвращены 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судами </w:t>
      </w:r>
      <w:r w:rsidRPr="006F4C5E">
        <w:rPr>
          <w:rFonts w:ascii="Arial" w:hAnsi="Arial" w:cs="Arial"/>
          <w:noProof/>
          <w:sz w:val="28"/>
          <w:szCs w:val="28"/>
          <w:lang w:eastAsia="ru-RU"/>
        </w:rPr>
        <w:t xml:space="preserve">без рассмотрения,  </w:t>
      </w:r>
      <w:r w:rsidRPr="00817200">
        <w:rPr>
          <w:rFonts w:ascii="Arial" w:hAnsi="Arial" w:cs="Arial"/>
          <w:b/>
          <w:noProof/>
          <w:sz w:val="28"/>
          <w:szCs w:val="28"/>
          <w:lang w:eastAsia="ru-RU"/>
        </w:rPr>
        <w:t>удовлетворено  916</w:t>
      </w:r>
      <w:r w:rsidRPr="006F4C5E">
        <w:rPr>
          <w:rFonts w:ascii="Arial" w:hAnsi="Arial" w:cs="Arial"/>
          <w:noProof/>
          <w:sz w:val="28"/>
          <w:szCs w:val="28"/>
          <w:lang w:eastAsia="ru-RU"/>
        </w:rPr>
        <w:t xml:space="preserve"> или 26% заявлений и отказано  в удовлетворении по 759 заявлениям или 21,5%.</w:t>
      </w:r>
      <w:proofErr w:type="gramEnd"/>
    </w:p>
    <w:p w:rsidR="00C53B19" w:rsidRDefault="00C53B19" w:rsidP="00C53B19">
      <w:r>
        <w:rPr>
          <w:rFonts w:ascii="Arial" w:hAnsi="Arial" w:cs="Arial"/>
          <w:noProof/>
          <w:sz w:val="28"/>
          <w:szCs w:val="28"/>
          <w:lang w:eastAsia="ru-RU"/>
        </w:rPr>
        <w:t>При этом, количество удовлетворенных заявлений возросло на 18% по сравнению с 2012 годом (755).</w:t>
      </w:r>
    </w:p>
    <w:p w:rsidR="00C53B19" w:rsidRDefault="00C53B19">
      <w:r>
        <w:rPr>
          <w:noProof/>
          <w:lang w:eastAsia="ru-RU"/>
        </w:rPr>
        <w:drawing>
          <wp:inline distT="0" distB="0" distL="0" distR="0" wp14:anchorId="5B2BE936" wp14:editId="3E9E9FBF">
            <wp:extent cx="5886450" cy="3676650"/>
            <wp:effectExtent l="3810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3B19" w:rsidRPr="0037515C" w:rsidRDefault="00C53B19" w:rsidP="00C53B19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37515C">
        <w:rPr>
          <w:rFonts w:ascii="Arial" w:eastAsia="Calibri" w:hAnsi="Arial" w:cs="Arial"/>
          <w:sz w:val="28"/>
          <w:szCs w:val="28"/>
        </w:rPr>
        <w:t xml:space="preserve">При этом по судам </w:t>
      </w:r>
      <w:proofErr w:type="spellStart"/>
      <w:r w:rsidRPr="0037515C">
        <w:rPr>
          <w:rFonts w:ascii="Arial" w:eastAsia="Calibri" w:hAnsi="Arial" w:cs="Arial"/>
          <w:sz w:val="28"/>
          <w:szCs w:val="28"/>
        </w:rPr>
        <w:t>Акмолинской</w:t>
      </w:r>
      <w:proofErr w:type="spellEnd"/>
      <w:r w:rsidRPr="0037515C">
        <w:rPr>
          <w:rFonts w:ascii="Arial" w:eastAsia="Calibri" w:hAnsi="Arial" w:cs="Arial"/>
          <w:sz w:val="28"/>
          <w:szCs w:val="28"/>
        </w:rPr>
        <w:t>, Западно-, Северо- и Южно-Казахстанской областей число решений</w:t>
      </w:r>
      <w:r>
        <w:rPr>
          <w:rFonts w:ascii="Arial" w:eastAsia="Calibri" w:hAnsi="Arial" w:cs="Arial"/>
          <w:sz w:val="28"/>
          <w:szCs w:val="28"/>
        </w:rPr>
        <w:t>,</w:t>
      </w:r>
      <w:r w:rsidRPr="0037515C">
        <w:rPr>
          <w:rFonts w:ascii="Arial" w:eastAsia="Calibri" w:hAnsi="Arial" w:cs="Arial"/>
          <w:sz w:val="28"/>
          <w:szCs w:val="28"/>
        </w:rPr>
        <w:t xml:space="preserve"> отмененных по вновь открывшимся обстоятельствам</w:t>
      </w:r>
      <w:r>
        <w:rPr>
          <w:rFonts w:ascii="Arial" w:eastAsia="Calibri" w:hAnsi="Arial" w:cs="Arial"/>
          <w:sz w:val="28"/>
          <w:szCs w:val="28"/>
        </w:rPr>
        <w:t xml:space="preserve">, </w:t>
      </w:r>
      <w:r w:rsidRPr="0037515C">
        <w:rPr>
          <w:rFonts w:ascii="Arial" w:eastAsia="Calibri" w:hAnsi="Arial" w:cs="Arial"/>
          <w:sz w:val="28"/>
          <w:szCs w:val="28"/>
        </w:rPr>
        <w:t xml:space="preserve"> возросло более чем в два раза, а по военным судам – почти в четыре раза,</w:t>
      </w:r>
      <w:r>
        <w:rPr>
          <w:rFonts w:ascii="Arial" w:eastAsia="Calibri" w:hAnsi="Arial" w:cs="Arial"/>
          <w:sz w:val="28"/>
          <w:szCs w:val="28"/>
        </w:rPr>
        <w:t xml:space="preserve"> тогда как в ряде регионов имело</w:t>
      </w:r>
      <w:r w:rsidRPr="0037515C">
        <w:rPr>
          <w:rFonts w:ascii="Arial" w:eastAsia="Calibri" w:hAnsi="Arial" w:cs="Arial"/>
          <w:sz w:val="28"/>
          <w:szCs w:val="28"/>
        </w:rPr>
        <w:t xml:space="preserve"> место существенное </w:t>
      </w:r>
      <w:r>
        <w:rPr>
          <w:rFonts w:ascii="Arial" w:eastAsia="Calibri" w:hAnsi="Arial" w:cs="Arial"/>
          <w:sz w:val="28"/>
          <w:szCs w:val="28"/>
        </w:rPr>
        <w:t xml:space="preserve">их  </w:t>
      </w:r>
      <w:r w:rsidRPr="0037515C">
        <w:rPr>
          <w:rFonts w:ascii="Arial" w:eastAsia="Calibri" w:hAnsi="Arial" w:cs="Arial"/>
          <w:sz w:val="28"/>
          <w:szCs w:val="28"/>
        </w:rPr>
        <w:t>снижение (</w:t>
      </w:r>
      <w:proofErr w:type="spellStart"/>
      <w:r w:rsidRPr="0037515C">
        <w:rPr>
          <w:rFonts w:ascii="Arial" w:eastAsia="Calibri" w:hAnsi="Arial" w:cs="Arial"/>
          <w:sz w:val="28"/>
          <w:szCs w:val="28"/>
        </w:rPr>
        <w:t>Костанайская</w:t>
      </w:r>
      <w:proofErr w:type="spellEnd"/>
      <w:r w:rsidRPr="0037515C">
        <w:rPr>
          <w:rFonts w:ascii="Arial" w:eastAsia="Calibri" w:hAnsi="Arial" w:cs="Arial"/>
          <w:sz w:val="28"/>
          <w:szCs w:val="28"/>
        </w:rPr>
        <w:t xml:space="preserve">, </w:t>
      </w:r>
      <w:proofErr w:type="gramStart"/>
      <w:r w:rsidRPr="0037515C">
        <w:rPr>
          <w:rFonts w:ascii="Arial" w:eastAsia="Calibri" w:hAnsi="Arial" w:cs="Arial"/>
          <w:sz w:val="28"/>
          <w:szCs w:val="28"/>
        </w:rPr>
        <w:t>Актюбинская</w:t>
      </w:r>
      <w:proofErr w:type="gramEnd"/>
      <w:r w:rsidRPr="0037515C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Pr="0037515C">
        <w:rPr>
          <w:rFonts w:ascii="Arial" w:eastAsia="Calibri" w:hAnsi="Arial" w:cs="Arial"/>
          <w:sz w:val="28"/>
          <w:szCs w:val="28"/>
        </w:rPr>
        <w:t>Мангистауская</w:t>
      </w:r>
      <w:proofErr w:type="spellEnd"/>
      <w:r w:rsidRPr="0037515C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Pr="0037515C">
        <w:rPr>
          <w:rFonts w:ascii="Arial" w:eastAsia="Calibri" w:hAnsi="Arial" w:cs="Arial"/>
          <w:sz w:val="28"/>
          <w:szCs w:val="28"/>
        </w:rPr>
        <w:t>Атырауская</w:t>
      </w:r>
      <w:proofErr w:type="spellEnd"/>
      <w:r w:rsidRPr="0037515C">
        <w:rPr>
          <w:rFonts w:ascii="Arial" w:eastAsia="Calibri" w:hAnsi="Arial" w:cs="Arial"/>
          <w:sz w:val="28"/>
          <w:szCs w:val="28"/>
        </w:rPr>
        <w:t xml:space="preserve"> области).  </w:t>
      </w:r>
    </w:p>
    <w:p w:rsidR="00C53B19" w:rsidRDefault="00C53B19" w:rsidP="00C725F0">
      <w:pPr>
        <w:tabs>
          <w:tab w:val="left" w:pos="709"/>
        </w:tabs>
        <w:spacing w:after="0" w:line="240" w:lineRule="auto"/>
        <w:jc w:val="both"/>
      </w:pPr>
      <w:r w:rsidRPr="0037515C">
        <w:rPr>
          <w:rFonts w:ascii="Arial" w:eastAsia="Calibri" w:hAnsi="Arial" w:cs="Arial"/>
          <w:sz w:val="28"/>
          <w:szCs w:val="28"/>
        </w:rPr>
        <w:tab/>
      </w:r>
      <w:r w:rsidRPr="00C725F0">
        <w:rPr>
          <w:rFonts w:ascii="Arial" w:eastAsia="Calibri" w:hAnsi="Arial" w:cs="Arial"/>
          <w:sz w:val="28"/>
          <w:szCs w:val="28"/>
        </w:rPr>
        <w:t>Наиболее высокий удельный вес числа судебных актов первой инстанции,  отмененных по вновь открывшимся обстоятельствам,  по отношению к числу дел, оконченных с вынесением решения (определения), имеет</w:t>
      </w:r>
      <w:r w:rsidRPr="0037515C">
        <w:rPr>
          <w:rFonts w:ascii="Arial" w:eastAsia="Calibri" w:hAnsi="Arial" w:cs="Arial"/>
          <w:sz w:val="28"/>
          <w:szCs w:val="28"/>
        </w:rPr>
        <w:t xml:space="preserve"> место по военным судам, судам  Северо-Казахстанской,  </w:t>
      </w:r>
      <w:proofErr w:type="spellStart"/>
      <w:r w:rsidRPr="0037515C">
        <w:rPr>
          <w:rFonts w:ascii="Arial" w:eastAsia="Calibri" w:hAnsi="Arial" w:cs="Arial"/>
          <w:sz w:val="28"/>
          <w:szCs w:val="28"/>
        </w:rPr>
        <w:t>Акмолинской</w:t>
      </w:r>
      <w:proofErr w:type="spellEnd"/>
      <w:r w:rsidRPr="0037515C">
        <w:rPr>
          <w:rFonts w:ascii="Arial" w:eastAsia="Calibri" w:hAnsi="Arial" w:cs="Arial"/>
          <w:sz w:val="28"/>
          <w:szCs w:val="28"/>
        </w:rPr>
        <w:t xml:space="preserve"> и  </w:t>
      </w:r>
      <w:proofErr w:type="spellStart"/>
      <w:r w:rsidRPr="0037515C">
        <w:rPr>
          <w:rFonts w:ascii="Arial" w:eastAsia="Calibri" w:hAnsi="Arial" w:cs="Arial"/>
          <w:sz w:val="28"/>
          <w:szCs w:val="28"/>
        </w:rPr>
        <w:t>Кызылординской</w:t>
      </w:r>
      <w:proofErr w:type="spellEnd"/>
      <w:r w:rsidRPr="0037515C">
        <w:rPr>
          <w:rFonts w:ascii="Arial" w:eastAsia="Calibri" w:hAnsi="Arial" w:cs="Arial"/>
          <w:sz w:val="28"/>
          <w:szCs w:val="28"/>
        </w:rPr>
        <w:t xml:space="preserve"> областей.</w:t>
      </w:r>
    </w:p>
    <w:p w:rsidR="00C53B19" w:rsidRPr="00C725F0" w:rsidRDefault="00C53B19" w:rsidP="00C53B19">
      <w:pPr>
        <w:ind w:firstLine="708"/>
        <w:jc w:val="both"/>
      </w:pPr>
      <w:r w:rsidRPr="00C725F0">
        <w:rPr>
          <w:rFonts w:ascii="Arial" w:eastAsia="Calibri" w:hAnsi="Arial" w:cs="Arial"/>
          <w:sz w:val="28"/>
          <w:szCs w:val="28"/>
        </w:rPr>
        <w:t>Количество удовлетворенных заявлений о пересмотре судебного акта по вновь открывшимся обстоятельствам за 2013 год,  в сравнении с 2012 годом (916/785), в разрезе регионов:</w:t>
      </w:r>
    </w:p>
    <w:p w:rsidR="00C53B19" w:rsidRDefault="00C53B19">
      <w:r>
        <w:rPr>
          <w:noProof/>
          <w:lang w:eastAsia="ru-RU"/>
        </w:rPr>
        <w:lastRenderedPageBreak/>
        <w:drawing>
          <wp:inline distT="0" distB="0" distL="0" distR="0" wp14:anchorId="44867209" wp14:editId="74D1A63F">
            <wp:extent cx="5932805" cy="8324850"/>
            <wp:effectExtent l="0" t="0" r="1079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25F0" w:rsidRDefault="00C725F0" w:rsidP="00C53B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725F0" w:rsidRDefault="00C725F0" w:rsidP="00C53B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725F0" w:rsidRDefault="00C725F0" w:rsidP="00C53B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725F0" w:rsidRDefault="00C725F0" w:rsidP="00C53B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53B19" w:rsidRDefault="00C53B19" w:rsidP="00C53B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 xml:space="preserve">Обоснованность </w:t>
      </w:r>
      <w:r w:rsidRPr="00905F0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судебных актов </w:t>
      </w:r>
      <w:r w:rsidRPr="00905F0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пересмотре дел </w:t>
      </w:r>
    </w:p>
    <w:p w:rsidR="00C53B19" w:rsidRPr="00905F0B" w:rsidRDefault="00C53B19" w:rsidP="00C53B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05F0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 вновь открывшимся обстоятельствам</w:t>
      </w:r>
    </w:p>
    <w:p w:rsidR="00C53B19" w:rsidRDefault="00C53B19" w:rsidP="00C53B1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9"/>
          <w:szCs w:val="29"/>
          <w:lang w:eastAsia="ru-RU"/>
        </w:rPr>
      </w:pPr>
    </w:p>
    <w:p w:rsidR="00C53B19" w:rsidRDefault="00C53B19" w:rsidP="00C53B19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05F0B">
        <w:rPr>
          <w:rFonts w:ascii="Arial" w:eastAsia="Times New Roman" w:hAnsi="Arial" w:cs="Arial"/>
          <w:sz w:val="28"/>
          <w:szCs w:val="28"/>
          <w:lang w:eastAsia="ru-RU"/>
        </w:rPr>
        <w:t>По данным областных судов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905F0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основанным на изучении поступивших дел, </w:t>
      </w:r>
      <w:r w:rsidRPr="00905F0B">
        <w:rPr>
          <w:rFonts w:ascii="Arial" w:eastAsia="Times New Roman" w:hAnsi="Arial" w:cs="Arial"/>
          <w:sz w:val="28"/>
          <w:szCs w:val="28"/>
          <w:lang w:eastAsia="ru-RU"/>
        </w:rPr>
        <w:t xml:space="preserve">в 2013 году из обжалованных судебных актов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о </w:t>
      </w:r>
      <w:r w:rsidRPr="00905F0B">
        <w:rPr>
          <w:rFonts w:ascii="Arial" w:eastAsia="Times New Roman" w:hAnsi="Arial" w:cs="Arial"/>
          <w:sz w:val="28"/>
          <w:szCs w:val="28"/>
          <w:lang w:eastAsia="ru-RU"/>
        </w:rPr>
        <w:t>пересмотр</w:t>
      </w:r>
      <w:r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905F0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дел </w:t>
      </w:r>
      <w:r w:rsidRPr="00905F0B">
        <w:rPr>
          <w:rFonts w:ascii="Arial" w:eastAsia="Times New Roman" w:hAnsi="Arial" w:cs="Arial"/>
          <w:sz w:val="28"/>
          <w:szCs w:val="28"/>
          <w:lang w:eastAsia="ru-RU"/>
        </w:rPr>
        <w:t>по вновь открывшимся обстоятельствам в апелляционном и кассационном порядке отменено 107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12%.</w:t>
      </w:r>
    </w:p>
    <w:p w:rsidR="00C53B19" w:rsidRPr="00905F0B" w:rsidRDefault="00C53B19" w:rsidP="00C53B19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05F0B">
        <w:rPr>
          <w:rFonts w:ascii="Arial" w:eastAsia="Times New Roman" w:hAnsi="Arial" w:cs="Arial"/>
          <w:sz w:val="28"/>
          <w:szCs w:val="28"/>
          <w:lang w:eastAsia="ru-RU"/>
        </w:rPr>
        <w:t xml:space="preserve">Наибольшее число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незаконных </w:t>
      </w:r>
      <w:r w:rsidRPr="00905F0B">
        <w:rPr>
          <w:rFonts w:ascii="Arial" w:eastAsia="Times New Roman" w:hAnsi="Arial" w:cs="Arial"/>
          <w:sz w:val="28"/>
          <w:szCs w:val="28"/>
          <w:lang w:eastAsia="ru-RU"/>
        </w:rPr>
        <w:t xml:space="preserve">судебных актов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о пересмотре дел </w:t>
      </w:r>
      <w:r w:rsidRPr="00905F0B">
        <w:rPr>
          <w:rFonts w:ascii="Arial" w:eastAsia="Times New Roman" w:hAnsi="Arial" w:cs="Arial"/>
          <w:sz w:val="28"/>
          <w:szCs w:val="28"/>
          <w:lang w:eastAsia="ru-RU"/>
        </w:rPr>
        <w:t xml:space="preserve">допущено  в судах </w:t>
      </w:r>
      <w:proofErr w:type="gramStart"/>
      <w:r w:rsidRPr="00905F0B">
        <w:rPr>
          <w:rFonts w:ascii="Arial" w:eastAsia="Times New Roman" w:hAnsi="Arial" w:cs="Arial"/>
          <w:sz w:val="28"/>
          <w:szCs w:val="28"/>
          <w:lang w:eastAsia="ru-RU"/>
        </w:rPr>
        <w:t>Северо-Казахстанской</w:t>
      </w:r>
      <w:proofErr w:type="gramEnd"/>
      <w:r w:rsidRPr="00905F0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05F0B">
        <w:rPr>
          <w:rFonts w:ascii="Arial" w:eastAsia="Times New Roman" w:hAnsi="Arial" w:cs="Arial"/>
          <w:i/>
          <w:sz w:val="28"/>
          <w:szCs w:val="28"/>
          <w:lang w:eastAsia="ru-RU"/>
        </w:rPr>
        <w:t>(15)</w:t>
      </w:r>
      <w:r w:rsidRPr="00905F0B">
        <w:rPr>
          <w:rFonts w:ascii="Arial" w:eastAsia="Times New Roman" w:hAnsi="Arial" w:cs="Arial"/>
          <w:sz w:val="28"/>
          <w:szCs w:val="28"/>
          <w:lang w:eastAsia="ru-RU"/>
        </w:rPr>
        <w:t xml:space="preserve">,  </w:t>
      </w:r>
      <w:proofErr w:type="spellStart"/>
      <w:r w:rsidRPr="00905F0B">
        <w:rPr>
          <w:rFonts w:ascii="Arial" w:eastAsia="Times New Roman" w:hAnsi="Arial" w:cs="Arial"/>
          <w:sz w:val="28"/>
          <w:szCs w:val="28"/>
          <w:lang w:eastAsia="ru-RU"/>
        </w:rPr>
        <w:t>Алматинской</w:t>
      </w:r>
      <w:proofErr w:type="spellEnd"/>
      <w:r w:rsidRPr="00905F0B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905F0B">
        <w:rPr>
          <w:rFonts w:ascii="Arial" w:eastAsia="Times New Roman" w:hAnsi="Arial" w:cs="Arial"/>
          <w:sz w:val="28"/>
          <w:szCs w:val="28"/>
          <w:lang w:eastAsia="ru-RU"/>
        </w:rPr>
        <w:t>Жамбылской</w:t>
      </w:r>
      <w:proofErr w:type="spellEnd"/>
      <w:r w:rsidRPr="00905F0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05F0B">
        <w:rPr>
          <w:rFonts w:ascii="Arial" w:eastAsia="Times New Roman" w:hAnsi="Arial" w:cs="Arial"/>
          <w:i/>
          <w:sz w:val="28"/>
          <w:szCs w:val="28"/>
          <w:lang w:eastAsia="ru-RU"/>
        </w:rPr>
        <w:t>(по 14)</w:t>
      </w:r>
      <w:r w:rsidRPr="00905F0B">
        <w:rPr>
          <w:rFonts w:ascii="Arial" w:eastAsia="Times New Roman" w:hAnsi="Arial" w:cs="Arial"/>
          <w:sz w:val="28"/>
          <w:szCs w:val="28"/>
          <w:lang w:eastAsia="ru-RU"/>
        </w:rPr>
        <w:t xml:space="preserve"> областей. </w:t>
      </w:r>
    </w:p>
    <w:p w:rsidR="00C53B19" w:rsidRPr="0049034A" w:rsidRDefault="00C53B19" w:rsidP="00C53B19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905F0B">
        <w:rPr>
          <w:rFonts w:ascii="Arial" w:eastAsia="Times New Roman" w:hAnsi="Arial" w:cs="Arial"/>
          <w:sz w:val="28"/>
          <w:szCs w:val="28"/>
          <w:lang w:eastAsia="ru-RU"/>
        </w:rPr>
        <w:t xml:space="preserve">Напротив, наименьшее их число отмечается в </w:t>
      </w:r>
      <w:proofErr w:type="spellStart"/>
      <w:r w:rsidRPr="00905F0B">
        <w:rPr>
          <w:rFonts w:ascii="Arial" w:eastAsia="Times New Roman" w:hAnsi="Arial" w:cs="Arial"/>
          <w:sz w:val="28"/>
          <w:szCs w:val="28"/>
          <w:lang w:eastAsia="ru-RU"/>
        </w:rPr>
        <w:t>Кызылординской</w:t>
      </w:r>
      <w:proofErr w:type="spellEnd"/>
      <w:r w:rsidRPr="00905F0B">
        <w:rPr>
          <w:rFonts w:ascii="Arial" w:eastAsia="Times New Roman" w:hAnsi="Arial" w:cs="Arial"/>
          <w:sz w:val="28"/>
          <w:szCs w:val="28"/>
          <w:lang w:eastAsia="ru-RU"/>
        </w:rPr>
        <w:t xml:space="preserve">, Южно-Казахстанской и Восточно-Казахстанской областях </w:t>
      </w:r>
      <w:r w:rsidRPr="00905F0B">
        <w:rPr>
          <w:rFonts w:ascii="Arial" w:eastAsia="Times New Roman" w:hAnsi="Arial" w:cs="Arial"/>
          <w:i/>
          <w:sz w:val="28"/>
          <w:szCs w:val="28"/>
          <w:lang w:eastAsia="ru-RU"/>
        </w:rPr>
        <w:t>(по 1)</w:t>
      </w:r>
      <w:r w:rsidRPr="00905F0B">
        <w:rPr>
          <w:rFonts w:ascii="Arial" w:eastAsia="Times New Roman" w:hAnsi="Arial" w:cs="Arial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12D17">
        <w:rPr>
          <w:rFonts w:ascii="Arial" w:eastAsia="Times New Roman" w:hAnsi="Arial" w:cs="Arial"/>
          <w:sz w:val="28"/>
          <w:szCs w:val="28"/>
          <w:lang w:eastAsia="ru-RU"/>
        </w:rPr>
        <w:t xml:space="preserve">В судах </w:t>
      </w:r>
      <w:proofErr w:type="spellStart"/>
      <w:r w:rsidRPr="00412D17">
        <w:rPr>
          <w:rFonts w:ascii="Arial" w:eastAsia="Times New Roman" w:hAnsi="Arial" w:cs="Arial"/>
          <w:sz w:val="28"/>
          <w:szCs w:val="28"/>
          <w:lang w:eastAsia="ru-RU"/>
        </w:rPr>
        <w:t>Атырауской</w:t>
      </w:r>
      <w:proofErr w:type="spellEnd"/>
      <w:r w:rsidRPr="00412D17">
        <w:rPr>
          <w:rFonts w:ascii="Arial" w:eastAsia="Times New Roman" w:hAnsi="Arial" w:cs="Arial"/>
          <w:sz w:val="28"/>
          <w:szCs w:val="28"/>
          <w:lang w:eastAsia="ru-RU"/>
        </w:rPr>
        <w:t xml:space="preserve"> области таки</w:t>
      </w:r>
      <w:r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412D17">
        <w:rPr>
          <w:rFonts w:ascii="Arial" w:eastAsia="Times New Roman" w:hAnsi="Arial" w:cs="Arial"/>
          <w:sz w:val="28"/>
          <w:szCs w:val="28"/>
          <w:lang w:eastAsia="ru-RU"/>
        </w:rPr>
        <w:t xml:space="preserve"> судебны</w:t>
      </w:r>
      <w:r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412D17">
        <w:rPr>
          <w:rFonts w:ascii="Arial" w:eastAsia="Times New Roman" w:hAnsi="Arial" w:cs="Arial"/>
          <w:sz w:val="28"/>
          <w:szCs w:val="28"/>
          <w:lang w:eastAsia="ru-RU"/>
        </w:rPr>
        <w:t xml:space="preserve"> акт</w:t>
      </w:r>
      <w:r>
        <w:rPr>
          <w:rFonts w:ascii="Arial" w:eastAsia="Times New Roman" w:hAnsi="Arial" w:cs="Arial"/>
          <w:sz w:val="28"/>
          <w:szCs w:val="28"/>
          <w:lang w:eastAsia="ru-RU"/>
        </w:rPr>
        <w:t>ы</w:t>
      </w:r>
      <w:r w:rsidRPr="00412D17">
        <w:rPr>
          <w:rFonts w:ascii="Arial" w:eastAsia="Times New Roman" w:hAnsi="Arial" w:cs="Arial"/>
          <w:sz w:val="28"/>
          <w:szCs w:val="28"/>
          <w:lang w:eastAsia="ru-RU"/>
        </w:rPr>
        <w:t xml:space="preserve"> не </w:t>
      </w:r>
      <w:r>
        <w:rPr>
          <w:rFonts w:ascii="Arial" w:eastAsia="Times New Roman" w:hAnsi="Arial" w:cs="Arial"/>
          <w:sz w:val="28"/>
          <w:szCs w:val="28"/>
          <w:lang w:eastAsia="ru-RU"/>
        </w:rPr>
        <w:t>отменялись</w:t>
      </w:r>
      <w:r w:rsidRPr="00412D1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53B19" w:rsidRPr="00F31EA2" w:rsidRDefault="00C53B19" w:rsidP="00C53B19">
      <w:pPr>
        <w:jc w:val="center"/>
        <w:rPr>
          <w:rFonts w:ascii="Arial" w:hAnsi="Arial" w:cs="Arial"/>
        </w:rPr>
      </w:pPr>
    </w:p>
    <w:p w:rsidR="00C53B19" w:rsidRDefault="00C53B19" w:rsidP="00C53B19">
      <w:pPr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bCs/>
          <w:sz w:val="28"/>
          <w:szCs w:val="28"/>
        </w:rPr>
        <w:t xml:space="preserve">Данные об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отменяемости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судебных актов о пересмотре дел по вновь открывшимся обстоятельствам в разрезе регионов: </w:t>
      </w:r>
    </w:p>
    <w:p w:rsidR="00C53B19" w:rsidRDefault="00C53B19">
      <w:r>
        <w:rPr>
          <w:noProof/>
          <w:lang w:eastAsia="ru-RU"/>
        </w:rPr>
        <w:drawing>
          <wp:inline distT="0" distB="0" distL="0" distR="0" wp14:anchorId="2ECB6D41" wp14:editId="4D2B18F1">
            <wp:extent cx="5934075" cy="56292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53B19" w:rsidRPr="006F4C5E" w:rsidRDefault="00C53B19" w:rsidP="00C53B1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F4C5E">
        <w:rPr>
          <w:rFonts w:ascii="Arial" w:eastAsia="Times New Roman" w:hAnsi="Arial" w:cs="Arial"/>
          <w:b/>
          <w:color w:val="000000"/>
          <w:sz w:val="29"/>
          <w:szCs w:val="29"/>
          <w:lang w:eastAsia="ru-RU"/>
        </w:rPr>
        <w:lastRenderedPageBreak/>
        <w:t>Основания для пересмотра судебных актов по вновь открывшимся обстоятельствам</w:t>
      </w:r>
    </w:p>
    <w:p w:rsidR="00C53B19" w:rsidRDefault="00C53B19"/>
    <w:p w:rsidR="00C53B19" w:rsidRDefault="00C53B1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-285307</wp:posOffset>
                </wp:positionH>
                <wp:positionV relativeFrom="paragraph">
                  <wp:posOffset>275486</wp:posOffset>
                </wp:positionV>
                <wp:extent cx="6172200" cy="6981825"/>
                <wp:effectExtent l="0" t="0" r="19050" b="2857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69818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3B19" w:rsidRPr="0037515C" w:rsidRDefault="00C53B19" w:rsidP="00E64FD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751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В соответствии со статьей 404 ГПК основаниями </w:t>
                            </w:r>
                          </w:p>
                          <w:p w:rsidR="00C53B19" w:rsidRPr="0037515C" w:rsidRDefault="00C53B19" w:rsidP="00E64FD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751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пересмотра судебных актов по вновь открывшимся обстоятельствам являются: </w:t>
                            </w:r>
                          </w:p>
                          <w:p w:rsidR="00C53B19" w:rsidRPr="0037515C" w:rsidRDefault="00C53B19" w:rsidP="00E64FD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53B19" w:rsidRPr="0037515C" w:rsidRDefault="00C53B19" w:rsidP="00E64FD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53B19" w:rsidRPr="0037515C" w:rsidRDefault="00C53B19" w:rsidP="008C4B7A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751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&gt;</w:t>
                            </w:r>
                            <w:r w:rsidRPr="0037515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существенные для дела обстоятельства, которые не были и не могли быть известны заявителю;</w:t>
                            </w:r>
                          </w:p>
                          <w:p w:rsidR="00C53B19" w:rsidRPr="0037515C" w:rsidRDefault="00C53B19" w:rsidP="008C4B7A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751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&gt;</w:t>
                            </w:r>
                            <w:r w:rsidRPr="0037515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установленные вступившим в законную силу приговором суда заведомо ложные показания свидетеля, заведомо ложное заключение эксперта, заведомо неправильный перевод, подложность документов либо вещественных доказательств, повлекшие за собой постановление незаконного либо необоснованного решения;</w:t>
                            </w:r>
                          </w:p>
                          <w:p w:rsidR="00C53B19" w:rsidRPr="0037515C" w:rsidRDefault="00C53B19" w:rsidP="008C4B7A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751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&gt;</w:t>
                            </w:r>
                            <w:r w:rsidRPr="0037515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установленные вступившим в законную силу приговором суда преступные действия сторон, других лиц, участвующих в деле, либо их представителей или преступные деяния судей, совершенные при рассмотрении данного дела;</w:t>
                            </w:r>
                          </w:p>
                          <w:p w:rsidR="00C53B19" w:rsidRPr="0037515C" w:rsidRDefault="00C53B19" w:rsidP="008C4B7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751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&gt;</w:t>
                            </w:r>
                            <w:r w:rsidRPr="0037515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отмена решения, приговора, определения или постановления суда либо постановления иного органа, послужившего основанием к вынесению данного решения, определения или постановления;</w:t>
                            </w:r>
                          </w:p>
                          <w:p w:rsidR="00C53B19" w:rsidRPr="0037515C" w:rsidRDefault="00C53B19" w:rsidP="008C4B7A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751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&gt; </w:t>
                            </w:r>
                            <w:r w:rsidRPr="0037515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признание Конституционным Советом Республики Казахстан неконституционным закона или иного нормативного правового акта, который был применен судом при вынесении судебного акта.</w:t>
                            </w:r>
                          </w:p>
                          <w:p w:rsidR="00C53B19" w:rsidRPr="0037515C" w:rsidRDefault="00C53B19" w:rsidP="008C4B7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-22.45pt;margin-top:21.7pt;width:486pt;height:5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" fillcolor="#4f81bd" strokecolor="#385d8a" strokeweight="2pt">
                <v:path arrowok="t"/>
                <v:textbox>
                  <w:txbxContent>
                    <w:p w:rsidR="00C53B19" w:rsidRPr="0037515C" w:rsidRDefault="00C53B19" w:rsidP="00E64FD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751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В соответствии со статьей 404 ГПК основаниями </w:t>
                      </w:r>
                    </w:p>
                    <w:p w:rsidR="00C53B19" w:rsidRPr="0037515C" w:rsidRDefault="00C53B19" w:rsidP="00E64FD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751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пересмотра судебных актов по вновь открывшимся обстоятельствам являются: </w:t>
                      </w:r>
                    </w:p>
                    <w:p w:rsidR="00C53B19" w:rsidRPr="0037515C" w:rsidRDefault="00C53B19" w:rsidP="00E64FD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53B19" w:rsidRPr="0037515C" w:rsidRDefault="00C53B19" w:rsidP="00E64FD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53B19" w:rsidRPr="0037515C" w:rsidRDefault="00C53B19" w:rsidP="008C4B7A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751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&gt;</w:t>
                      </w:r>
                      <w:r w:rsidRPr="0037515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существенные для дела обстоятельства, которые не были и не могли быть известны заявителю;</w:t>
                      </w:r>
                    </w:p>
                    <w:p w:rsidR="00C53B19" w:rsidRPr="0037515C" w:rsidRDefault="00C53B19" w:rsidP="008C4B7A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751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&gt;</w:t>
                      </w:r>
                      <w:r w:rsidRPr="0037515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установленные вступившим в законную силу приговором суда заведомо ложные показания свидетеля, заведомо ложное заключение эксперта, заведомо неправильный перевод, подложность документов либо вещественных доказательств, повлекшие за собой постановление незаконного либо необоснованного решения;</w:t>
                      </w:r>
                    </w:p>
                    <w:p w:rsidR="00C53B19" w:rsidRPr="0037515C" w:rsidRDefault="00C53B19" w:rsidP="008C4B7A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751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&gt;</w:t>
                      </w:r>
                      <w:r w:rsidRPr="0037515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установленные вступившим в законную силу приговором суда преступные действия сторон, других лиц, участвующих в деле, либо их представителей или преступные деяния судей, совершенные при рассмотрении данного дела;</w:t>
                      </w:r>
                    </w:p>
                    <w:p w:rsidR="00C53B19" w:rsidRPr="0037515C" w:rsidRDefault="00C53B19" w:rsidP="008C4B7A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751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&gt;</w:t>
                      </w:r>
                      <w:r w:rsidRPr="0037515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отмена решения, приговора, определения или постановления суда либо постановления иного органа, послужившего основанием к вынесению данного решения, определения или постановления;</w:t>
                      </w:r>
                    </w:p>
                    <w:p w:rsidR="00C53B19" w:rsidRPr="0037515C" w:rsidRDefault="00C53B19" w:rsidP="008C4B7A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751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&gt; </w:t>
                      </w:r>
                      <w:r w:rsidRPr="0037515C">
                        <w:rPr>
                          <w:rFonts w:ascii="Arial" w:hAnsi="Arial" w:cs="Arial"/>
                          <w:sz w:val="28"/>
                          <w:szCs w:val="28"/>
                        </w:rPr>
                        <w:t>признание Конституционным Советом Республики Казахстан неконституционным закона или иного нормативного правового акта, который был применен судом при вынесении судебного акта.</w:t>
                      </w:r>
                    </w:p>
                    <w:p w:rsidR="00C53B19" w:rsidRPr="0037515C" w:rsidRDefault="00C53B19" w:rsidP="008C4B7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53B19" w:rsidRDefault="00C53B19"/>
    <w:p w:rsidR="00C53B19" w:rsidRDefault="00C53B19"/>
    <w:p w:rsidR="00C53B19" w:rsidRDefault="00C53B19"/>
    <w:p w:rsidR="00C53B19" w:rsidRDefault="00C53B19"/>
    <w:p w:rsidR="00C53B19" w:rsidRDefault="00C53B19"/>
    <w:p w:rsidR="00C53B19" w:rsidRDefault="00C53B19"/>
    <w:p w:rsidR="00C53B19" w:rsidRDefault="00C53B19"/>
    <w:p w:rsidR="00C53B19" w:rsidRDefault="00C53B19"/>
    <w:p w:rsidR="00C53B19" w:rsidRDefault="00C53B19"/>
    <w:p w:rsidR="00C53B19" w:rsidRDefault="00C53B19"/>
    <w:p w:rsidR="00C53B19" w:rsidRDefault="00C53B19"/>
    <w:p w:rsidR="00C53B19" w:rsidRDefault="00C53B19"/>
    <w:p w:rsidR="00C53B19" w:rsidRDefault="00C53B19"/>
    <w:p w:rsidR="00C53B19" w:rsidRDefault="00C53B19"/>
    <w:p w:rsidR="00C53B19" w:rsidRDefault="00C53B19"/>
    <w:p w:rsidR="00C53B19" w:rsidRDefault="00C53B19"/>
    <w:p w:rsidR="00C53B19" w:rsidRDefault="00C53B19"/>
    <w:p w:rsidR="00C53B19" w:rsidRDefault="00C53B19"/>
    <w:p w:rsidR="00C53B19" w:rsidRDefault="00C53B19"/>
    <w:p w:rsidR="00C53B19" w:rsidRDefault="00C53B19"/>
    <w:p w:rsidR="00C53B19" w:rsidRDefault="00C53B19"/>
    <w:p w:rsidR="00C53B19" w:rsidRDefault="00C53B19"/>
    <w:p w:rsidR="00C53B19" w:rsidRDefault="00C53B19"/>
    <w:p w:rsidR="00C53B19" w:rsidRDefault="00C725F0" w:rsidP="00C53B19"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BB30A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Примеры из судебной практики:</w:t>
      </w:r>
    </w:p>
    <w:p w:rsidR="00C53B19" w:rsidRDefault="00C53B19" w:rsidP="00C53B19">
      <w:pPr>
        <w:spacing w:after="0" w:line="240" w:lineRule="auto"/>
        <w:jc w:val="both"/>
        <w:rPr>
          <w:rFonts w:ascii="Arial" w:hAnsi="Arial" w:cs="Arial"/>
          <w:b/>
          <w:i/>
          <w:color w:val="000000"/>
          <w:spacing w:val="-2"/>
          <w:sz w:val="28"/>
          <w:szCs w:val="28"/>
        </w:rPr>
      </w:pPr>
    </w:p>
    <w:p w:rsidR="00C53B19" w:rsidRPr="009D0776" w:rsidRDefault="00C53B19" w:rsidP="00C53B1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D0776">
        <w:rPr>
          <w:rFonts w:ascii="Arial" w:hAnsi="Arial" w:cs="Arial"/>
          <w:bCs/>
          <w:color w:val="000000"/>
          <w:sz w:val="28"/>
          <w:szCs w:val="28"/>
        </w:rPr>
        <w:lastRenderedPageBreak/>
        <w:t xml:space="preserve">Определением СМЭС </w:t>
      </w:r>
      <w:proofErr w:type="spellStart"/>
      <w:r w:rsidRPr="009D0776">
        <w:rPr>
          <w:rFonts w:ascii="Arial" w:hAnsi="Arial" w:cs="Arial"/>
          <w:bCs/>
          <w:color w:val="000000"/>
          <w:sz w:val="28"/>
          <w:szCs w:val="28"/>
        </w:rPr>
        <w:t>Алматинской</w:t>
      </w:r>
      <w:proofErr w:type="spellEnd"/>
      <w:r w:rsidRPr="009D0776">
        <w:rPr>
          <w:rFonts w:ascii="Arial" w:hAnsi="Arial" w:cs="Arial"/>
          <w:bCs/>
          <w:color w:val="000000"/>
          <w:sz w:val="28"/>
          <w:szCs w:val="28"/>
        </w:rPr>
        <w:t xml:space="preserve">  области  от 4 марта 2013 года удовлетворено  заявление </w:t>
      </w:r>
      <w:proofErr w:type="gramStart"/>
      <w:r w:rsidRPr="009D0776">
        <w:rPr>
          <w:rFonts w:ascii="Arial" w:hAnsi="Arial" w:cs="Arial"/>
          <w:bCs/>
          <w:color w:val="000000"/>
          <w:sz w:val="28"/>
          <w:szCs w:val="28"/>
        </w:rPr>
        <w:t>ГУ «Т</w:t>
      </w:r>
      <w:proofErr w:type="gramEnd"/>
      <w:r w:rsidRPr="009D0776">
        <w:rPr>
          <w:rFonts w:ascii="Arial" w:hAnsi="Arial" w:cs="Arial"/>
          <w:bCs/>
          <w:color w:val="000000"/>
          <w:sz w:val="28"/>
          <w:szCs w:val="28"/>
        </w:rPr>
        <w:t>» об отмене решения СМЭС от  3 января 2013 года по вновь открывшимся обстоятельствам.</w:t>
      </w:r>
      <w:r w:rsidRPr="009D0776">
        <w:rPr>
          <w:rFonts w:ascii="Arial" w:hAnsi="Arial" w:cs="Arial"/>
          <w:bCs/>
          <w:color w:val="000000"/>
          <w:sz w:val="28"/>
          <w:szCs w:val="28"/>
        </w:rPr>
        <w:tab/>
        <w:t xml:space="preserve">Заявление мотивировано тем, что при вынесении решения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судом </w:t>
      </w:r>
      <w:r w:rsidRPr="009D0776">
        <w:rPr>
          <w:rFonts w:ascii="Arial" w:hAnsi="Arial" w:cs="Arial"/>
          <w:bCs/>
          <w:color w:val="000000"/>
          <w:sz w:val="28"/>
          <w:szCs w:val="28"/>
        </w:rPr>
        <w:t>не были исследованы существенные  обстоятельства</w:t>
      </w:r>
      <w:r>
        <w:rPr>
          <w:rFonts w:ascii="Arial" w:hAnsi="Arial" w:cs="Arial"/>
          <w:bCs/>
          <w:color w:val="000000"/>
          <w:sz w:val="28"/>
          <w:szCs w:val="28"/>
          <w:lang w:val="kk-KZ"/>
        </w:rPr>
        <w:t xml:space="preserve"> дела</w:t>
      </w:r>
      <w:r w:rsidRPr="009D0776">
        <w:rPr>
          <w:rFonts w:ascii="Arial" w:hAnsi="Arial" w:cs="Arial"/>
          <w:bCs/>
          <w:color w:val="000000"/>
          <w:sz w:val="28"/>
          <w:szCs w:val="28"/>
        </w:rPr>
        <w:t xml:space="preserve">. </w:t>
      </w:r>
    </w:p>
    <w:p w:rsidR="00C53B19" w:rsidRPr="009D0776" w:rsidRDefault="00C53B19" w:rsidP="00C53B19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</w:t>
      </w:r>
      <w:r w:rsidRPr="009D0776">
        <w:rPr>
          <w:rFonts w:ascii="Arial" w:hAnsi="Arial" w:cs="Arial"/>
          <w:bCs/>
          <w:color w:val="000000"/>
          <w:sz w:val="28"/>
          <w:szCs w:val="28"/>
        </w:rPr>
        <w:t>Поскольку в качестве существенных обстоятельств фактически были указаны доводы о несогласии с решением суда,  которые являлись основанием для обращения в вышестоящий суд с соответствующей жалобой в установленном порядке,   постановлением апелляционной инстанции  определение суда отменено по частной жалобе истца  АО «</w:t>
      </w:r>
      <w:r w:rsidR="00E03B2F">
        <w:rPr>
          <w:rFonts w:ascii="Arial" w:hAnsi="Arial" w:cs="Arial"/>
          <w:bCs/>
          <w:color w:val="000000"/>
          <w:sz w:val="28"/>
          <w:szCs w:val="28"/>
        </w:rPr>
        <w:t>С</w:t>
      </w:r>
      <w:r w:rsidRPr="009D0776">
        <w:rPr>
          <w:rFonts w:ascii="Arial" w:hAnsi="Arial" w:cs="Arial"/>
          <w:bCs/>
          <w:color w:val="000000"/>
          <w:sz w:val="28"/>
          <w:szCs w:val="28"/>
        </w:rPr>
        <w:t>».</w:t>
      </w:r>
    </w:p>
    <w:p w:rsidR="00C53B19" w:rsidRPr="009D0776" w:rsidRDefault="00C53B19" w:rsidP="00C53B19">
      <w:pPr>
        <w:spacing w:after="0"/>
        <w:ind w:hanging="54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D0776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C53B19" w:rsidRDefault="00C53B19" w:rsidP="00C53B1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4570F">
        <w:rPr>
          <w:rFonts w:ascii="Arial" w:hAnsi="Arial" w:cs="Arial"/>
          <w:sz w:val="28"/>
          <w:szCs w:val="28"/>
        </w:rPr>
        <w:t xml:space="preserve">Решением </w:t>
      </w:r>
      <w:proofErr w:type="spellStart"/>
      <w:r w:rsidRPr="00C4570F">
        <w:rPr>
          <w:rFonts w:ascii="Arial" w:hAnsi="Arial" w:cs="Arial"/>
          <w:sz w:val="28"/>
          <w:szCs w:val="28"/>
        </w:rPr>
        <w:t>Степногорского</w:t>
      </w:r>
      <w:proofErr w:type="spellEnd"/>
      <w:r w:rsidRPr="00C4570F">
        <w:rPr>
          <w:rFonts w:ascii="Arial" w:hAnsi="Arial" w:cs="Arial"/>
          <w:sz w:val="28"/>
          <w:szCs w:val="28"/>
        </w:rPr>
        <w:t xml:space="preserve"> городского суда от 25 декабря 2012 года по заявлению </w:t>
      </w:r>
      <w:proofErr w:type="spellStart"/>
      <w:r w:rsidRPr="00C4570F">
        <w:rPr>
          <w:rFonts w:ascii="Arial" w:hAnsi="Arial" w:cs="Arial"/>
          <w:sz w:val="28"/>
          <w:szCs w:val="28"/>
        </w:rPr>
        <w:t>акимата</w:t>
      </w:r>
      <w:proofErr w:type="spellEnd"/>
      <w:r w:rsidRPr="00C4570F">
        <w:rPr>
          <w:rFonts w:ascii="Arial" w:hAnsi="Arial" w:cs="Arial"/>
          <w:sz w:val="28"/>
          <w:szCs w:val="28"/>
        </w:rPr>
        <w:t xml:space="preserve"> города квартира</w:t>
      </w:r>
      <w:r>
        <w:rPr>
          <w:rFonts w:ascii="Arial" w:hAnsi="Arial" w:cs="Arial"/>
          <w:sz w:val="28"/>
          <w:szCs w:val="28"/>
        </w:rPr>
        <w:t xml:space="preserve">, </w:t>
      </w:r>
      <w:r w:rsidRPr="00C4570F">
        <w:rPr>
          <w:rFonts w:ascii="Arial" w:hAnsi="Arial" w:cs="Arial"/>
          <w:sz w:val="28"/>
          <w:szCs w:val="28"/>
        </w:rPr>
        <w:t>принадлежавшая Д., признана поступившей в коммунальную собственность, в связи с тем, что с 2002 года</w:t>
      </w:r>
      <w:r>
        <w:rPr>
          <w:rFonts w:ascii="Arial" w:hAnsi="Arial" w:cs="Arial"/>
          <w:sz w:val="28"/>
          <w:szCs w:val="28"/>
        </w:rPr>
        <w:t xml:space="preserve"> </w:t>
      </w:r>
      <w:r w:rsidRPr="00C4570F">
        <w:rPr>
          <w:rFonts w:ascii="Arial" w:hAnsi="Arial" w:cs="Arial"/>
          <w:sz w:val="28"/>
          <w:szCs w:val="28"/>
        </w:rPr>
        <w:t xml:space="preserve">никто в ней не проживает. Д. </w:t>
      </w:r>
      <w:proofErr w:type="gramStart"/>
      <w:r w:rsidRPr="00C4570F">
        <w:rPr>
          <w:rFonts w:ascii="Arial" w:hAnsi="Arial" w:cs="Arial"/>
          <w:sz w:val="28"/>
          <w:szCs w:val="28"/>
        </w:rPr>
        <w:t>прописанной</w:t>
      </w:r>
      <w:proofErr w:type="gramEnd"/>
      <w:r w:rsidRPr="00C4570F">
        <w:rPr>
          <w:rFonts w:ascii="Arial" w:hAnsi="Arial" w:cs="Arial"/>
          <w:sz w:val="28"/>
          <w:szCs w:val="28"/>
        </w:rPr>
        <w:t xml:space="preserve"> или выписанной из города </w:t>
      </w:r>
      <w:proofErr w:type="spellStart"/>
      <w:r w:rsidRPr="00C4570F">
        <w:rPr>
          <w:rFonts w:ascii="Arial" w:hAnsi="Arial" w:cs="Arial"/>
          <w:sz w:val="28"/>
          <w:szCs w:val="28"/>
        </w:rPr>
        <w:t>Степногорска</w:t>
      </w:r>
      <w:proofErr w:type="spellEnd"/>
      <w:r w:rsidRPr="00C4570F">
        <w:rPr>
          <w:rFonts w:ascii="Arial" w:hAnsi="Arial" w:cs="Arial"/>
          <w:sz w:val="28"/>
          <w:szCs w:val="28"/>
        </w:rPr>
        <w:t xml:space="preserve"> не значится, с 9 декабря 2009 года квартира поставлена на учет как бесхозяйная. </w:t>
      </w:r>
    </w:p>
    <w:p w:rsidR="00C53B19" w:rsidRPr="00C4570F" w:rsidRDefault="00C53B19" w:rsidP="00C53B19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C4570F">
        <w:rPr>
          <w:rFonts w:ascii="Arial" w:hAnsi="Arial" w:cs="Arial"/>
          <w:sz w:val="28"/>
          <w:szCs w:val="28"/>
          <w:lang w:val="kk-KZ"/>
        </w:rPr>
        <w:t>22 ноября 2013 года представитель Д., проживающей в городе Санкт-Петербург, обратилась в суд с заявлением о пересмотре решения</w:t>
      </w:r>
      <w:r>
        <w:rPr>
          <w:rFonts w:ascii="Arial" w:hAnsi="Arial" w:cs="Arial"/>
          <w:sz w:val="28"/>
          <w:szCs w:val="28"/>
          <w:lang w:val="kk-KZ"/>
        </w:rPr>
        <w:t xml:space="preserve"> по вновь открывшимся обстоятельствам</w:t>
      </w:r>
      <w:r w:rsidRPr="00C4570F">
        <w:rPr>
          <w:rFonts w:ascii="Arial" w:hAnsi="Arial" w:cs="Arial"/>
          <w:sz w:val="28"/>
          <w:szCs w:val="28"/>
          <w:lang w:val="kk-KZ"/>
        </w:rPr>
        <w:t>, указывая, что Д</w:t>
      </w:r>
      <w:r w:rsidR="00E03B2F">
        <w:rPr>
          <w:rFonts w:ascii="Arial" w:hAnsi="Arial" w:cs="Arial"/>
          <w:sz w:val="28"/>
          <w:szCs w:val="28"/>
          <w:lang w:val="kk-KZ"/>
        </w:rPr>
        <w:t>.</w:t>
      </w:r>
      <w:r w:rsidRPr="00C4570F">
        <w:rPr>
          <w:rFonts w:ascii="Arial" w:hAnsi="Arial" w:cs="Arial"/>
          <w:sz w:val="28"/>
          <w:szCs w:val="28"/>
          <w:lang w:val="kk-KZ"/>
        </w:rPr>
        <w:t xml:space="preserve"> никогда не бросала квартиру, участвует в восстановлении дома, 2 июня </w:t>
      </w:r>
      <w:smartTag w:uri="urn:schemas-microsoft-com:office:smarttags" w:element="metricconverter">
        <w:smartTagPr>
          <w:attr w:name="ProductID" w:val="2008 г"/>
        </w:smartTagPr>
        <w:r w:rsidRPr="00C4570F">
          <w:rPr>
            <w:rFonts w:ascii="Arial" w:hAnsi="Arial" w:cs="Arial"/>
            <w:sz w:val="28"/>
            <w:szCs w:val="28"/>
            <w:lang w:val="kk-KZ"/>
          </w:rPr>
          <w:t>2008 года</w:t>
        </w:r>
      </w:smartTag>
      <w:r w:rsidRPr="00C4570F">
        <w:rPr>
          <w:rFonts w:ascii="Arial" w:hAnsi="Arial" w:cs="Arial"/>
          <w:sz w:val="28"/>
          <w:szCs w:val="28"/>
          <w:lang w:val="kk-KZ"/>
        </w:rPr>
        <w:t xml:space="preserve"> заключила договор с ЖСК, заплатив 225 000 тенге, по поводу восстановления дома неоднократно обращалась в акимат.</w:t>
      </w:r>
    </w:p>
    <w:p w:rsidR="00C53B19" w:rsidRPr="00C4570F" w:rsidRDefault="00C53B19" w:rsidP="00C53B19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Определение об у</w:t>
      </w:r>
      <w:r w:rsidRPr="00C4570F">
        <w:rPr>
          <w:rFonts w:ascii="Arial" w:hAnsi="Arial" w:cs="Arial"/>
          <w:sz w:val="28"/>
          <w:szCs w:val="28"/>
          <w:lang w:val="kk-KZ"/>
        </w:rPr>
        <w:t>довлетвор</w:t>
      </w:r>
      <w:r>
        <w:rPr>
          <w:rFonts w:ascii="Arial" w:hAnsi="Arial" w:cs="Arial"/>
          <w:sz w:val="28"/>
          <w:szCs w:val="28"/>
          <w:lang w:val="kk-KZ"/>
        </w:rPr>
        <w:t xml:space="preserve">ении данного </w:t>
      </w:r>
      <w:r w:rsidRPr="00C4570F">
        <w:rPr>
          <w:rFonts w:ascii="Arial" w:hAnsi="Arial" w:cs="Arial"/>
          <w:sz w:val="28"/>
          <w:szCs w:val="28"/>
          <w:lang w:val="kk-KZ"/>
        </w:rPr>
        <w:t>заявлени</w:t>
      </w:r>
      <w:r>
        <w:rPr>
          <w:rFonts w:ascii="Arial" w:hAnsi="Arial" w:cs="Arial"/>
          <w:sz w:val="28"/>
          <w:szCs w:val="28"/>
          <w:lang w:val="kk-KZ"/>
        </w:rPr>
        <w:t xml:space="preserve">я </w:t>
      </w:r>
      <w:r w:rsidRPr="00C4570F">
        <w:rPr>
          <w:rFonts w:ascii="Arial" w:hAnsi="Arial" w:cs="Arial"/>
          <w:sz w:val="28"/>
          <w:szCs w:val="28"/>
          <w:lang w:val="kk-KZ"/>
        </w:rPr>
        <w:t xml:space="preserve">суд </w:t>
      </w:r>
      <w:r>
        <w:rPr>
          <w:rFonts w:ascii="Arial" w:hAnsi="Arial" w:cs="Arial"/>
          <w:sz w:val="28"/>
          <w:szCs w:val="28"/>
          <w:lang w:val="kk-KZ"/>
        </w:rPr>
        <w:t xml:space="preserve">мотивировал тем, что </w:t>
      </w:r>
      <w:r w:rsidRPr="00C4570F">
        <w:rPr>
          <w:rFonts w:ascii="Arial" w:hAnsi="Arial" w:cs="Arial"/>
          <w:sz w:val="28"/>
          <w:szCs w:val="28"/>
          <w:lang w:val="kk-KZ"/>
        </w:rPr>
        <w:t>квартира зарегистрирована за Д., об обстоятельствах, на которые указывает заявитель, суду не было известно</w:t>
      </w:r>
      <w:r>
        <w:rPr>
          <w:rFonts w:ascii="Arial" w:hAnsi="Arial" w:cs="Arial"/>
          <w:sz w:val="28"/>
          <w:szCs w:val="28"/>
          <w:lang w:val="kk-KZ"/>
        </w:rPr>
        <w:t xml:space="preserve"> и они </w:t>
      </w:r>
      <w:r w:rsidRPr="00C4570F">
        <w:rPr>
          <w:rFonts w:ascii="Arial" w:hAnsi="Arial" w:cs="Arial"/>
          <w:sz w:val="28"/>
          <w:szCs w:val="28"/>
          <w:lang w:val="kk-KZ"/>
        </w:rPr>
        <w:t>являются существенными.</w:t>
      </w:r>
    </w:p>
    <w:p w:rsidR="00C53B19" w:rsidRPr="00C4570F" w:rsidRDefault="00C53B19" w:rsidP="00C53B19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C4570F">
        <w:rPr>
          <w:rFonts w:ascii="Arial" w:hAnsi="Arial" w:cs="Arial"/>
          <w:sz w:val="28"/>
          <w:szCs w:val="28"/>
          <w:lang w:val="kk-KZ"/>
        </w:rPr>
        <w:t>Между тем, указанные факты свидетельствуют о том, что при рассмотрени</w:t>
      </w:r>
      <w:r>
        <w:rPr>
          <w:rFonts w:ascii="Arial" w:hAnsi="Arial" w:cs="Arial"/>
          <w:sz w:val="28"/>
          <w:szCs w:val="28"/>
          <w:lang w:val="kk-KZ"/>
        </w:rPr>
        <w:t>и</w:t>
      </w:r>
      <w:r w:rsidRPr="00C4570F">
        <w:rPr>
          <w:rFonts w:ascii="Arial" w:hAnsi="Arial" w:cs="Arial"/>
          <w:sz w:val="28"/>
          <w:szCs w:val="28"/>
          <w:lang w:val="kk-KZ"/>
        </w:rPr>
        <w:t xml:space="preserve"> дела суд не выяснил, каким образом и кем выявлена бесхозяйность квартиры, где находится собственик, какие действия, свидетельствующие об отказе собствен</w:t>
      </w:r>
      <w:r>
        <w:rPr>
          <w:rFonts w:ascii="Arial" w:hAnsi="Arial" w:cs="Arial"/>
          <w:sz w:val="28"/>
          <w:szCs w:val="28"/>
          <w:lang w:val="kk-KZ"/>
        </w:rPr>
        <w:t>н</w:t>
      </w:r>
      <w:r w:rsidRPr="00C4570F">
        <w:rPr>
          <w:rFonts w:ascii="Arial" w:hAnsi="Arial" w:cs="Arial"/>
          <w:sz w:val="28"/>
          <w:szCs w:val="28"/>
          <w:lang w:val="kk-KZ"/>
        </w:rPr>
        <w:t xml:space="preserve">ика от квартиры, были совершены. Таким образом, неполнота исследования обстоятельств дела послужила основанием для отмены решения по вновь открывшимся обстоятельствам. </w:t>
      </w:r>
    </w:p>
    <w:p w:rsidR="00C53B19" w:rsidRDefault="00C53B19" w:rsidP="00C53B19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C4570F">
        <w:rPr>
          <w:rFonts w:ascii="Arial" w:hAnsi="Arial" w:cs="Arial"/>
          <w:sz w:val="28"/>
          <w:szCs w:val="28"/>
          <w:lang w:val="kk-KZ"/>
        </w:rPr>
        <w:t>При новом рассмотрении дела суд оставил заявление без рассмотрения на основании заявления акимата.</w:t>
      </w:r>
    </w:p>
    <w:p w:rsidR="00C53B19" w:rsidRPr="00C4570F" w:rsidRDefault="00C53B19" w:rsidP="00C53B19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C53B19" w:rsidRPr="00A62F6E" w:rsidRDefault="00C725F0" w:rsidP="00C53B19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C53B19" w:rsidRPr="009D0776" w:rsidRDefault="00C53B19" w:rsidP="00C53B19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</w:rPr>
      </w:pPr>
      <w:r w:rsidRPr="009D0776">
        <w:rPr>
          <w:rFonts w:ascii="Arial" w:hAnsi="Arial" w:cs="Arial"/>
          <w:sz w:val="28"/>
          <w:szCs w:val="28"/>
        </w:rPr>
        <w:t xml:space="preserve">Решением специализированного межрайонного экономического суда </w:t>
      </w:r>
      <w:proofErr w:type="spellStart"/>
      <w:r w:rsidRPr="009D0776">
        <w:rPr>
          <w:rFonts w:ascii="Arial" w:hAnsi="Arial" w:cs="Arial"/>
          <w:sz w:val="28"/>
          <w:szCs w:val="28"/>
        </w:rPr>
        <w:t>Жамбылской</w:t>
      </w:r>
      <w:proofErr w:type="spellEnd"/>
      <w:r w:rsidRPr="009D0776">
        <w:rPr>
          <w:rFonts w:ascii="Arial" w:hAnsi="Arial" w:cs="Arial"/>
          <w:sz w:val="28"/>
          <w:szCs w:val="28"/>
        </w:rPr>
        <w:t xml:space="preserve"> области от </w:t>
      </w:r>
      <w:r w:rsidRPr="009D0776">
        <w:rPr>
          <w:rFonts w:ascii="Arial" w:hAnsi="Arial" w:cs="Arial"/>
          <w:sz w:val="28"/>
          <w:szCs w:val="28"/>
          <w:lang w:val="kk-KZ"/>
        </w:rPr>
        <w:t xml:space="preserve">30 мая </w:t>
      </w:r>
      <w:r w:rsidRPr="009D0776">
        <w:rPr>
          <w:rFonts w:ascii="Arial" w:hAnsi="Arial" w:cs="Arial"/>
          <w:sz w:val="28"/>
          <w:szCs w:val="28"/>
        </w:rPr>
        <w:t>20</w:t>
      </w:r>
      <w:r w:rsidRPr="009D0776">
        <w:rPr>
          <w:rFonts w:ascii="Arial" w:hAnsi="Arial" w:cs="Arial"/>
          <w:sz w:val="28"/>
          <w:szCs w:val="28"/>
          <w:lang w:val="kk-KZ"/>
        </w:rPr>
        <w:t>13</w:t>
      </w:r>
      <w:r w:rsidRPr="009D0776">
        <w:rPr>
          <w:rFonts w:ascii="Arial" w:hAnsi="Arial" w:cs="Arial"/>
          <w:sz w:val="28"/>
          <w:szCs w:val="28"/>
        </w:rPr>
        <w:t xml:space="preserve"> года </w:t>
      </w:r>
      <w:r w:rsidRPr="009D0776">
        <w:rPr>
          <w:rFonts w:ascii="Arial" w:hAnsi="Arial" w:cs="Arial"/>
          <w:sz w:val="28"/>
          <w:szCs w:val="28"/>
          <w:lang w:val="kk-KZ"/>
        </w:rPr>
        <w:t xml:space="preserve">отказано в </w:t>
      </w:r>
      <w:r w:rsidRPr="009D0776">
        <w:rPr>
          <w:rFonts w:ascii="Arial" w:hAnsi="Arial" w:cs="Arial"/>
          <w:sz w:val="28"/>
          <w:szCs w:val="28"/>
        </w:rPr>
        <w:t>иск</w:t>
      </w:r>
      <w:r w:rsidRPr="009D0776">
        <w:rPr>
          <w:rFonts w:ascii="Arial" w:hAnsi="Arial" w:cs="Arial"/>
          <w:sz w:val="28"/>
          <w:szCs w:val="28"/>
          <w:lang w:val="kk-KZ"/>
        </w:rPr>
        <w:t>е</w:t>
      </w:r>
      <w:r w:rsidRPr="009D077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D0776">
        <w:rPr>
          <w:rFonts w:ascii="Arial" w:hAnsi="Arial" w:cs="Arial"/>
          <w:sz w:val="28"/>
          <w:szCs w:val="28"/>
          <w:lang w:val="kk-KZ"/>
        </w:rPr>
        <w:t>ГУ «Д</w:t>
      </w:r>
      <w:proofErr w:type="gramEnd"/>
      <w:r w:rsidRPr="009D0776">
        <w:rPr>
          <w:rFonts w:ascii="Arial" w:hAnsi="Arial" w:cs="Arial"/>
          <w:sz w:val="28"/>
          <w:szCs w:val="28"/>
          <w:lang w:val="kk-KZ"/>
        </w:rPr>
        <w:t xml:space="preserve">» к ИП «К» о взыскании неустойки в размере 21 355 тенге в связи с пропуском  сроков </w:t>
      </w:r>
      <w:r w:rsidRPr="009D0776">
        <w:rPr>
          <w:rFonts w:ascii="Arial" w:hAnsi="Arial" w:cs="Arial"/>
          <w:sz w:val="28"/>
          <w:szCs w:val="28"/>
        </w:rPr>
        <w:t xml:space="preserve">предъявления иска, </w:t>
      </w:r>
      <w:r w:rsidRPr="009D0776">
        <w:rPr>
          <w:rFonts w:ascii="Arial" w:hAnsi="Arial" w:cs="Arial"/>
          <w:sz w:val="28"/>
          <w:szCs w:val="28"/>
        </w:rPr>
        <w:lastRenderedPageBreak/>
        <w:t>предусмотренных    статьей 37 Закона  «О государственных закупках».</w:t>
      </w:r>
    </w:p>
    <w:p w:rsidR="00C53B19" w:rsidRPr="0037515C" w:rsidRDefault="00C53B19" w:rsidP="00C53B1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7515C">
        <w:rPr>
          <w:rFonts w:ascii="Arial" w:hAnsi="Arial" w:cs="Arial"/>
          <w:sz w:val="28"/>
          <w:szCs w:val="28"/>
        </w:rPr>
        <w:t>01</w:t>
      </w:r>
      <w:r>
        <w:rPr>
          <w:rFonts w:ascii="Arial" w:hAnsi="Arial" w:cs="Arial"/>
          <w:sz w:val="28"/>
          <w:szCs w:val="28"/>
        </w:rPr>
        <w:t xml:space="preserve"> августа </w:t>
      </w:r>
      <w:r w:rsidRPr="0037515C">
        <w:rPr>
          <w:rFonts w:ascii="Arial" w:hAnsi="Arial" w:cs="Arial"/>
          <w:sz w:val="28"/>
          <w:szCs w:val="28"/>
        </w:rPr>
        <w:t xml:space="preserve">2013 года от </w:t>
      </w:r>
      <w:r w:rsidRPr="0037515C">
        <w:rPr>
          <w:rFonts w:ascii="Arial" w:hAnsi="Arial" w:cs="Arial"/>
          <w:sz w:val="28"/>
          <w:szCs w:val="28"/>
          <w:lang w:val="kk-KZ"/>
        </w:rPr>
        <w:t xml:space="preserve">представителя </w:t>
      </w:r>
      <w:proofErr w:type="gramStart"/>
      <w:r w:rsidRPr="0037515C">
        <w:rPr>
          <w:rFonts w:ascii="Arial" w:hAnsi="Arial" w:cs="Arial"/>
          <w:sz w:val="28"/>
          <w:szCs w:val="28"/>
          <w:lang w:val="kk-KZ"/>
        </w:rPr>
        <w:t>ГУ «</w:t>
      </w:r>
      <w:r w:rsidR="008E73E6">
        <w:rPr>
          <w:rFonts w:ascii="Arial" w:hAnsi="Arial" w:cs="Arial"/>
          <w:sz w:val="28"/>
          <w:szCs w:val="28"/>
          <w:lang w:val="kk-KZ"/>
        </w:rPr>
        <w:t>Д</w:t>
      </w:r>
      <w:proofErr w:type="gramEnd"/>
      <w:r w:rsidRPr="0037515C">
        <w:rPr>
          <w:rFonts w:ascii="Arial" w:hAnsi="Arial" w:cs="Arial"/>
          <w:sz w:val="28"/>
          <w:szCs w:val="28"/>
          <w:lang w:val="kk-KZ"/>
        </w:rPr>
        <w:t>» поступило заявление о пересмотре решения суда по вновь открывшимся обстоятельствам</w:t>
      </w:r>
      <w:r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C53B19" w:rsidRPr="0037515C" w:rsidRDefault="00C53B19" w:rsidP="00C53B1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7515C">
        <w:rPr>
          <w:rFonts w:ascii="Arial" w:hAnsi="Arial" w:cs="Arial"/>
          <w:sz w:val="28"/>
          <w:szCs w:val="28"/>
          <w:lang w:val="kk-KZ"/>
        </w:rPr>
        <w:t xml:space="preserve">В качестве вновь открывшегося обстоятельства названо представление Министерства об устранении выявленных нарушений, где указано о взыскании в доход республиканского бюджета суммы неустойки в виде 0,1 % от цены договора за просрочку выполнения работ по государственным закупкам. </w:t>
      </w:r>
    </w:p>
    <w:p w:rsidR="00C53B19" w:rsidRPr="0037515C" w:rsidRDefault="00C53B19" w:rsidP="00C53B1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7515C">
        <w:rPr>
          <w:rFonts w:ascii="Arial" w:hAnsi="Arial" w:cs="Arial"/>
          <w:sz w:val="28"/>
          <w:szCs w:val="28"/>
          <w:lang w:val="kk-KZ"/>
        </w:rPr>
        <w:t>Суд, признав эт</w:t>
      </w:r>
      <w:r>
        <w:rPr>
          <w:rFonts w:ascii="Arial" w:hAnsi="Arial" w:cs="Arial"/>
          <w:sz w:val="28"/>
          <w:szCs w:val="28"/>
          <w:lang w:val="kk-KZ"/>
        </w:rPr>
        <w:t>о</w:t>
      </w:r>
      <w:r w:rsidRPr="0037515C">
        <w:rPr>
          <w:rFonts w:ascii="Arial" w:hAnsi="Arial" w:cs="Arial"/>
          <w:sz w:val="28"/>
          <w:szCs w:val="28"/>
          <w:lang w:val="kk-KZ"/>
        </w:rPr>
        <w:t xml:space="preserve"> обстоятельств</w:t>
      </w:r>
      <w:r>
        <w:rPr>
          <w:rFonts w:ascii="Arial" w:hAnsi="Arial" w:cs="Arial"/>
          <w:sz w:val="28"/>
          <w:szCs w:val="28"/>
          <w:lang w:val="kk-KZ"/>
        </w:rPr>
        <w:t>о</w:t>
      </w:r>
      <w:r w:rsidRPr="0037515C">
        <w:rPr>
          <w:rFonts w:ascii="Arial" w:hAnsi="Arial" w:cs="Arial"/>
          <w:sz w:val="28"/>
          <w:szCs w:val="28"/>
          <w:lang w:val="kk-KZ"/>
        </w:rPr>
        <w:t xml:space="preserve"> вновь открывшимся </w:t>
      </w:r>
      <w:r>
        <w:rPr>
          <w:rFonts w:ascii="Arial" w:hAnsi="Arial" w:cs="Arial"/>
          <w:sz w:val="28"/>
          <w:szCs w:val="28"/>
          <w:lang w:val="kk-KZ"/>
        </w:rPr>
        <w:t xml:space="preserve"> и </w:t>
      </w:r>
      <w:r w:rsidRPr="0037515C">
        <w:rPr>
          <w:rFonts w:ascii="Arial" w:hAnsi="Arial" w:cs="Arial"/>
          <w:sz w:val="28"/>
          <w:szCs w:val="28"/>
          <w:lang w:val="kk-KZ"/>
        </w:rPr>
        <w:t xml:space="preserve"> существенны</w:t>
      </w:r>
      <w:r>
        <w:rPr>
          <w:rFonts w:ascii="Arial" w:hAnsi="Arial" w:cs="Arial"/>
          <w:sz w:val="28"/>
          <w:szCs w:val="28"/>
          <w:lang w:val="kk-KZ"/>
        </w:rPr>
        <w:t>м</w:t>
      </w:r>
      <w:r w:rsidRPr="0037515C">
        <w:rPr>
          <w:rFonts w:ascii="Arial" w:hAnsi="Arial" w:cs="Arial"/>
          <w:sz w:val="28"/>
          <w:szCs w:val="28"/>
          <w:lang w:val="kk-KZ"/>
        </w:rPr>
        <w:t xml:space="preserve"> для дела, </w:t>
      </w:r>
      <w:r>
        <w:rPr>
          <w:rFonts w:ascii="Arial" w:hAnsi="Arial" w:cs="Arial"/>
          <w:sz w:val="28"/>
          <w:szCs w:val="28"/>
          <w:lang w:val="kk-KZ"/>
        </w:rPr>
        <w:t>уд</w:t>
      </w:r>
      <w:r w:rsidRPr="0037515C">
        <w:rPr>
          <w:rFonts w:ascii="Arial" w:hAnsi="Arial" w:cs="Arial"/>
          <w:sz w:val="28"/>
          <w:szCs w:val="28"/>
          <w:lang w:val="kk-KZ"/>
        </w:rPr>
        <w:t>овлетворил поданное заявление и отменил вступившее в законную силу решение</w:t>
      </w:r>
      <w:r>
        <w:rPr>
          <w:rFonts w:ascii="Arial" w:hAnsi="Arial" w:cs="Arial"/>
          <w:sz w:val="28"/>
          <w:szCs w:val="28"/>
          <w:lang w:val="kk-KZ"/>
        </w:rPr>
        <w:t>.</w:t>
      </w:r>
    </w:p>
    <w:p w:rsidR="00C53B19" w:rsidRDefault="00C53B19" w:rsidP="00C53B1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7515C">
        <w:rPr>
          <w:rFonts w:ascii="Arial" w:hAnsi="Arial" w:cs="Arial"/>
          <w:sz w:val="28"/>
          <w:szCs w:val="28"/>
          <w:lang w:val="kk-KZ"/>
        </w:rPr>
        <w:t xml:space="preserve">В последующем решением </w:t>
      </w:r>
      <w:r w:rsidRPr="0037515C">
        <w:rPr>
          <w:rFonts w:ascii="Arial" w:hAnsi="Arial" w:cs="Arial"/>
          <w:sz w:val="28"/>
          <w:szCs w:val="28"/>
        </w:rPr>
        <w:t xml:space="preserve">специализированного межрайонного экономического суда </w:t>
      </w:r>
      <w:proofErr w:type="spellStart"/>
      <w:r w:rsidRPr="0037515C">
        <w:rPr>
          <w:rFonts w:ascii="Arial" w:hAnsi="Arial" w:cs="Arial"/>
          <w:sz w:val="28"/>
          <w:szCs w:val="28"/>
        </w:rPr>
        <w:t>Жамбылской</w:t>
      </w:r>
      <w:proofErr w:type="spellEnd"/>
      <w:r w:rsidRPr="0037515C">
        <w:rPr>
          <w:rFonts w:ascii="Arial" w:hAnsi="Arial" w:cs="Arial"/>
          <w:sz w:val="28"/>
          <w:szCs w:val="28"/>
        </w:rPr>
        <w:t xml:space="preserve"> области от 23 июля 20</w:t>
      </w:r>
      <w:r w:rsidRPr="0037515C">
        <w:rPr>
          <w:rFonts w:ascii="Arial" w:hAnsi="Arial" w:cs="Arial"/>
          <w:sz w:val="28"/>
          <w:szCs w:val="28"/>
          <w:lang w:val="kk-KZ"/>
        </w:rPr>
        <w:t>13</w:t>
      </w:r>
      <w:r w:rsidRPr="0037515C">
        <w:rPr>
          <w:rFonts w:ascii="Arial" w:hAnsi="Arial" w:cs="Arial"/>
          <w:sz w:val="28"/>
          <w:szCs w:val="28"/>
        </w:rPr>
        <w:t xml:space="preserve"> года иск </w:t>
      </w:r>
      <w:r w:rsidRPr="0037515C">
        <w:rPr>
          <w:rFonts w:ascii="Arial" w:hAnsi="Arial" w:cs="Arial"/>
          <w:sz w:val="28"/>
          <w:szCs w:val="28"/>
          <w:lang w:val="kk-KZ"/>
        </w:rPr>
        <w:t>ГУ «</w:t>
      </w:r>
      <w:r w:rsidR="008E73E6">
        <w:rPr>
          <w:rFonts w:ascii="Arial" w:hAnsi="Arial" w:cs="Arial"/>
          <w:sz w:val="28"/>
          <w:szCs w:val="28"/>
          <w:lang w:val="kk-KZ"/>
        </w:rPr>
        <w:t>Д</w:t>
      </w:r>
      <w:r w:rsidRPr="0037515C">
        <w:rPr>
          <w:rFonts w:ascii="Arial" w:hAnsi="Arial" w:cs="Arial"/>
          <w:sz w:val="28"/>
          <w:szCs w:val="28"/>
          <w:lang w:val="kk-KZ"/>
        </w:rPr>
        <w:t>» к ИП «К» о взыскании неустойки в размере 21 355 тенге удовлетворен.</w:t>
      </w:r>
    </w:p>
    <w:p w:rsidR="00C53B19" w:rsidRDefault="00C53B19" w:rsidP="00C53B1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C53B19" w:rsidRDefault="00C725F0" w:rsidP="00C53B19">
      <w:r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C53B19" w:rsidRPr="006746B1" w:rsidRDefault="00C53B19" w:rsidP="00BB30A1">
      <w:pPr>
        <w:pStyle w:val="a6"/>
        <w:numPr>
          <w:ilvl w:val="0"/>
          <w:numId w:val="1"/>
        </w:numPr>
        <w:ind w:left="0" w:firstLine="709"/>
        <w:jc w:val="both"/>
        <w:rPr>
          <w:rFonts w:ascii="Arial" w:hAnsi="Arial" w:cs="Arial"/>
          <w:b w:val="0"/>
          <w:szCs w:val="28"/>
        </w:rPr>
      </w:pPr>
      <w:r w:rsidRPr="006746B1">
        <w:rPr>
          <w:rFonts w:ascii="Arial" w:hAnsi="Arial" w:cs="Arial"/>
          <w:b w:val="0"/>
          <w:szCs w:val="28"/>
        </w:rPr>
        <w:t>Решением СМЭС Актюбинской области от 14 июня 2013 года  в иске   ГУ «О» к ТОО «А» о взыскании суммы отказано.</w:t>
      </w:r>
    </w:p>
    <w:p w:rsidR="00C53B19" w:rsidRPr="006746B1" w:rsidRDefault="00C53B19" w:rsidP="00C53B19">
      <w:pPr>
        <w:pStyle w:val="a6"/>
        <w:ind w:firstLine="708"/>
        <w:jc w:val="both"/>
        <w:rPr>
          <w:rFonts w:ascii="Arial" w:hAnsi="Arial" w:cs="Arial"/>
          <w:b w:val="0"/>
          <w:szCs w:val="28"/>
        </w:rPr>
      </w:pPr>
      <w:r w:rsidRPr="006746B1">
        <w:rPr>
          <w:rFonts w:ascii="Arial" w:hAnsi="Arial" w:cs="Arial"/>
          <w:b w:val="0"/>
          <w:szCs w:val="28"/>
        </w:rPr>
        <w:t>В дальнейшем,  ГУ «О»  обратил</w:t>
      </w:r>
      <w:r>
        <w:rPr>
          <w:rFonts w:ascii="Arial" w:hAnsi="Arial" w:cs="Arial"/>
          <w:b w:val="0"/>
          <w:szCs w:val="28"/>
          <w:lang w:val="kk-KZ"/>
        </w:rPr>
        <w:t xml:space="preserve">ось </w:t>
      </w:r>
      <w:r w:rsidRPr="006746B1">
        <w:rPr>
          <w:rFonts w:ascii="Arial" w:hAnsi="Arial" w:cs="Arial"/>
          <w:b w:val="0"/>
          <w:szCs w:val="28"/>
        </w:rPr>
        <w:t xml:space="preserve">за </w:t>
      </w:r>
      <w:proofErr w:type="spellStart"/>
      <w:r w:rsidRPr="006746B1">
        <w:rPr>
          <w:rFonts w:ascii="Arial" w:hAnsi="Arial" w:cs="Arial"/>
          <w:b w:val="0"/>
          <w:szCs w:val="28"/>
        </w:rPr>
        <w:t>разъяснени</w:t>
      </w:r>
      <w:proofErr w:type="spellEnd"/>
      <w:r>
        <w:rPr>
          <w:rFonts w:ascii="Arial" w:hAnsi="Arial" w:cs="Arial"/>
          <w:b w:val="0"/>
          <w:szCs w:val="28"/>
          <w:lang w:val="kk-KZ"/>
        </w:rPr>
        <w:t>ями</w:t>
      </w:r>
      <w:r w:rsidRPr="006746B1">
        <w:rPr>
          <w:rFonts w:ascii="Arial" w:hAnsi="Arial" w:cs="Arial"/>
          <w:b w:val="0"/>
          <w:szCs w:val="28"/>
        </w:rPr>
        <w:t xml:space="preserve"> к  генеральным проектировщикам, которые пояснили, что возвратные суммы подлежат уплате в доход государства.</w:t>
      </w:r>
      <w:r w:rsidRPr="006746B1">
        <w:rPr>
          <w:rFonts w:ascii="Arial" w:hAnsi="Arial" w:cs="Arial"/>
          <w:b w:val="0"/>
          <w:szCs w:val="28"/>
        </w:rPr>
        <w:tab/>
        <w:t xml:space="preserve"> Указывая, что эта переписка с проектировщиками является вновь открывшимся обстоятельством, которое имеет </w:t>
      </w:r>
      <w:proofErr w:type="gramStart"/>
      <w:r w:rsidRPr="006746B1">
        <w:rPr>
          <w:rFonts w:ascii="Arial" w:hAnsi="Arial" w:cs="Arial"/>
          <w:b w:val="0"/>
          <w:szCs w:val="28"/>
        </w:rPr>
        <w:t>важное значение</w:t>
      </w:r>
      <w:proofErr w:type="gramEnd"/>
      <w:r w:rsidRPr="006746B1">
        <w:rPr>
          <w:rFonts w:ascii="Arial" w:hAnsi="Arial" w:cs="Arial"/>
          <w:b w:val="0"/>
          <w:szCs w:val="28"/>
        </w:rPr>
        <w:t xml:space="preserve"> для дела, ГУ обратилось в суд  с просьбой  отменить вышеуказанное решение в порядке ст. 404 ГПК РК.  </w:t>
      </w:r>
    </w:p>
    <w:p w:rsidR="00C53B19" w:rsidRPr="006746B1" w:rsidRDefault="00C53B19" w:rsidP="00C53B19">
      <w:pPr>
        <w:pStyle w:val="a6"/>
        <w:ind w:firstLine="708"/>
        <w:jc w:val="both"/>
        <w:rPr>
          <w:rFonts w:ascii="Arial" w:hAnsi="Arial" w:cs="Arial"/>
          <w:b w:val="0"/>
          <w:szCs w:val="28"/>
        </w:rPr>
      </w:pPr>
      <w:r w:rsidRPr="006746B1">
        <w:rPr>
          <w:rFonts w:ascii="Arial" w:hAnsi="Arial" w:cs="Arial"/>
          <w:b w:val="0"/>
          <w:szCs w:val="28"/>
        </w:rPr>
        <w:t xml:space="preserve">Определением суда от 4 декабря 2013 года  заявление ГУ «О» удовлетворено, </w:t>
      </w:r>
      <w:r>
        <w:rPr>
          <w:rFonts w:ascii="Arial" w:hAnsi="Arial" w:cs="Arial"/>
          <w:b w:val="0"/>
          <w:szCs w:val="28"/>
        </w:rPr>
        <w:t xml:space="preserve">состоявшееся </w:t>
      </w:r>
      <w:r w:rsidRPr="006746B1">
        <w:rPr>
          <w:rFonts w:ascii="Arial" w:hAnsi="Arial" w:cs="Arial"/>
          <w:b w:val="0"/>
          <w:szCs w:val="28"/>
        </w:rPr>
        <w:t>решение СМЭС  отменено.</w:t>
      </w:r>
    </w:p>
    <w:p w:rsidR="00C53B19" w:rsidRPr="006746B1" w:rsidRDefault="00C53B19" w:rsidP="00C53B19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46B1">
        <w:rPr>
          <w:rFonts w:ascii="Arial" w:hAnsi="Arial" w:cs="Arial"/>
          <w:sz w:val="28"/>
          <w:szCs w:val="28"/>
        </w:rPr>
        <w:t xml:space="preserve">Однако судом не принято во внимание, что данное обстоятельство возникло после вынесения судебного акта. Решение   состоялось 14 июня 2013 года, тогда как переписка ГУ «О» с генеральными проектировщиками имела место в период с  26 июля   по 5 августа 2013 года. </w:t>
      </w:r>
    </w:p>
    <w:p w:rsidR="00C53B19" w:rsidRPr="006746B1" w:rsidRDefault="00C53B19" w:rsidP="00C53B19">
      <w:pPr>
        <w:pStyle w:val="a6"/>
        <w:ind w:firstLine="708"/>
        <w:jc w:val="both"/>
        <w:rPr>
          <w:rFonts w:ascii="Arial" w:hAnsi="Arial" w:cs="Arial"/>
          <w:b w:val="0"/>
          <w:szCs w:val="28"/>
        </w:rPr>
      </w:pPr>
      <w:r w:rsidRPr="006746B1">
        <w:rPr>
          <w:rFonts w:ascii="Arial" w:hAnsi="Arial" w:cs="Arial"/>
          <w:b w:val="0"/>
          <w:szCs w:val="28"/>
        </w:rPr>
        <w:t>При повторном рассмотрении решением СМЭС от 6 января 2014 года исковые требования ГУ «О» к ТОО «А» о взыскании суммы удовлетворены, постановлено взыскать с ответчика в пользу истца 9040 тенге.</w:t>
      </w:r>
    </w:p>
    <w:p w:rsidR="00C53B19" w:rsidRPr="006746B1" w:rsidRDefault="00C53B19" w:rsidP="00C53B19">
      <w:pPr>
        <w:pStyle w:val="a6"/>
        <w:ind w:firstLine="708"/>
        <w:jc w:val="both"/>
        <w:rPr>
          <w:rFonts w:ascii="Arial" w:hAnsi="Arial" w:cs="Arial"/>
          <w:b w:val="0"/>
          <w:szCs w:val="28"/>
        </w:rPr>
      </w:pPr>
      <w:r w:rsidRPr="006746B1">
        <w:rPr>
          <w:rFonts w:ascii="Arial" w:hAnsi="Arial" w:cs="Arial"/>
          <w:b w:val="0"/>
          <w:szCs w:val="28"/>
        </w:rPr>
        <w:t xml:space="preserve"> </w:t>
      </w:r>
    </w:p>
    <w:p w:rsidR="00C53B19" w:rsidRPr="006746B1" w:rsidRDefault="00C53B19" w:rsidP="00C725F0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746B1">
        <w:rPr>
          <w:rFonts w:ascii="Arial" w:hAnsi="Arial" w:cs="Arial"/>
          <w:sz w:val="28"/>
          <w:szCs w:val="28"/>
        </w:rPr>
        <w:t xml:space="preserve">Заочным решением </w:t>
      </w:r>
      <w:proofErr w:type="spellStart"/>
      <w:r w:rsidRPr="006746B1">
        <w:rPr>
          <w:rFonts w:ascii="Arial" w:hAnsi="Arial" w:cs="Arial"/>
          <w:sz w:val="28"/>
          <w:szCs w:val="28"/>
        </w:rPr>
        <w:t>Жаркаинского</w:t>
      </w:r>
      <w:proofErr w:type="spellEnd"/>
      <w:r w:rsidRPr="006746B1">
        <w:rPr>
          <w:rFonts w:ascii="Arial" w:hAnsi="Arial" w:cs="Arial"/>
          <w:sz w:val="28"/>
          <w:szCs w:val="28"/>
        </w:rPr>
        <w:t xml:space="preserve"> районного суда от 31 января 2011 года удовлетворен иск Ж. к М. о возмещении материального ущерба, причиненного ДТП, </w:t>
      </w:r>
      <w:proofErr w:type="gramStart"/>
      <w:r w:rsidRPr="006746B1">
        <w:rPr>
          <w:rFonts w:ascii="Arial" w:hAnsi="Arial" w:cs="Arial"/>
          <w:sz w:val="28"/>
          <w:szCs w:val="28"/>
        </w:rPr>
        <w:t>со</w:t>
      </w:r>
      <w:proofErr w:type="gramEnd"/>
      <w:r w:rsidRPr="006746B1">
        <w:rPr>
          <w:rFonts w:ascii="Arial" w:hAnsi="Arial" w:cs="Arial"/>
          <w:sz w:val="28"/>
          <w:szCs w:val="28"/>
        </w:rPr>
        <w:t xml:space="preserve">  взысканием ущерба в сумме 317 457 тенге и расходов на лечение в сумме  22 153 тенге.</w:t>
      </w:r>
    </w:p>
    <w:p w:rsidR="00C53B19" w:rsidRPr="0037515C" w:rsidRDefault="00C53B19" w:rsidP="00C53B19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7515C">
        <w:rPr>
          <w:rFonts w:ascii="Arial" w:hAnsi="Arial" w:cs="Arial"/>
          <w:sz w:val="28"/>
          <w:szCs w:val="28"/>
        </w:rPr>
        <w:lastRenderedPageBreak/>
        <w:t>2 мая 2013 года ответчик обратился в суд с заявлением о пересмотре заочного решения по вновь открывшимся обстоятельствам, указывая, что в марте 2013 года ему стало известно о том, что ущерб в сумме 317 457 тенге 25 апреля 2011 года оплачен истцу  страховой компанией.</w:t>
      </w:r>
    </w:p>
    <w:p w:rsidR="00C53B19" w:rsidRPr="0037515C" w:rsidRDefault="00C53B19" w:rsidP="00C53B19">
      <w:pPr>
        <w:tabs>
          <w:tab w:val="left" w:pos="-450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37515C">
        <w:rPr>
          <w:rFonts w:ascii="Arial" w:hAnsi="Arial" w:cs="Arial"/>
          <w:sz w:val="28"/>
          <w:szCs w:val="28"/>
        </w:rPr>
        <w:t>Жаркаинским</w:t>
      </w:r>
      <w:proofErr w:type="spellEnd"/>
      <w:r w:rsidRPr="0037515C">
        <w:rPr>
          <w:rFonts w:ascii="Arial" w:hAnsi="Arial" w:cs="Arial"/>
          <w:sz w:val="28"/>
          <w:szCs w:val="28"/>
        </w:rPr>
        <w:t xml:space="preserve"> районным судом данное заявление принято к производству суда и определением от 14 мая 2013 года удовлетворено по основанию, предусмотренному подпунктом 1) статьи 404 ГПК. </w:t>
      </w:r>
    </w:p>
    <w:p w:rsidR="00C53B19" w:rsidRPr="0037515C" w:rsidRDefault="00C53B19" w:rsidP="00C53B19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7515C">
        <w:rPr>
          <w:rFonts w:ascii="Arial" w:hAnsi="Arial" w:cs="Arial"/>
          <w:sz w:val="28"/>
          <w:szCs w:val="28"/>
        </w:rPr>
        <w:t xml:space="preserve">При новом рассмотрении дела суд отказал в иске, мотивируя тем, что 25 апреля 2011 года </w:t>
      </w:r>
      <w:r>
        <w:rPr>
          <w:rFonts w:ascii="Arial" w:hAnsi="Arial" w:cs="Arial"/>
          <w:sz w:val="28"/>
          <w:szCs w:val="28"/>
        </w:rPr>
        <w:t>с</w:t>
      </w:r>
      <w:r w:rsidRPr="0037515C">
        <w:rPr>
          <w:rFonts w:ascii="Arial" w:hAnsi="Arial" w:cs="Arial"/>
          <w:sz w:val="28"/>
          <w:szCs w:val="28"/>
        </w:rPr>
        <w:t>траховая компания выплатила Ж. ущерб в полном объеме</w:t>
      </w:r>
      <w:r>
        <w:rPr>
          <w:rFonts w:ascii="Arial" w:hAnsi="Arial" w:cs="Arial"/>
          <w:sz w:val="28"/>
          <w:szCs w:val="28"/>
        </w:rPr>
        <w:t>.</w:t>
      </w:r>
    </w:p>
    <w:p w:rsidR="00C53B19" w:rsidRDefault="00C53B19" w:rsidP="00C53B1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7515C">
        <w:rPr>
          <w:rFonts w:ascii="Arial" w:hAnsi="Arial" w:cs="Arial"/>
          <w:sz w:val="28"/>
          <w:szCs w:val="28"/>
        </w:rPr>
        <w:t xml:space="preserve">Судом не учтено, что </w:t>
      </w:r>
      <w:r>
        <w:rPr>
          <w:rFonts w:ascii="Arial" w:hAnsi="Arial" w:cs="Arial"/>
          <w:sz w:val="28"/>
          <w:szCs w:val="28"/>
        </w:rPr>
        <w:t xml:space="preserve">возмещение </w:t>
      </w:r>
      <w:r w:rsidRPr="0037515C">
        <w:rPr>
          <w:rFonts w:ascii="Arial" w:hAnsi="Arial" w:cs="Arial"/>
          <w:sz w:val="28"/>
          <w:szCs w:val="28"/>
        </w:rPr>
        <w:t>ущерб</w:t>
      </w:r>
      <w:r>
        <w:rPr>
          <w:rFonts w:ascii="Arial" w:hAnsi="Arial" w:cs="Arial"/>
          <w:sz w:val="28"/>
          <w:szCs w:val="28"/>
        </w:rPr>
        <w:t>а</w:t>
      </w:r>
      <w:r w:rsidRPr="0037515C">
        <w:rPr>
          <w:rFonts w:ascii="Arial" w:hAnsi="Arial" w:cs="Arial"/>
          <w:sz w:val="28"/>
          <w:szCs w:val="28"/>
        </w:rPr>
        <w:t xml:space="preserve"> потерпевшему </w:t>
      </w:r>
      <w:r>
        <w:rPr>
          <w:rFonts w:ascii="Arial" w:hAnsi="Arial" w:cs="Arial"/>
          <w:sz w:val="28"/>
          <w:szCs w:val="28"/>
        </w:rPr>
        <w:t>с</w:t>
      </w:r>
      <w:r w:rsidRPr="0037515C">
        <w:rPr>
          <w:rFonts w:ascii="Arial" w:hAnsi="Arial" w:cs="Arial"/>
          <w:sz w:val="28"/>
          <w:szCs w:val="28"/>
        </w:rPr>
        <w:t xml:space="preserve">траховой компанией </w:t>
      </w:r>
      <w:r>
        <w:rPr>
          <w:rFonts w:ascii="Arial" w:hAnsi="Arial" w:cs="Arial"/>
          <w:sz w:val="28"/>
          <w:szCs w:val="28"/>
        </w:rPr>
        <w:t xml:space="preserve">состоялось </w:t>
      </w:r>
      <w:r w:rsidRPr="0037515C">
        <w:rPr>
          <w:rFonts w:ascii="Arial" w:hAnsi="Arial" w:cs="Arial"/>
          <w:sz w:val="28"/>
          <w:szCs w:val="28"/>
        </w:rPr>
        <w:t>после вынесения судебного акта</w:t>
      </w:r>
      <w:r>
        <w:rPr>
          <w:rFonts w:ascii="Arial" w:hAnsi="Arial" w:cs="Arial"/>
          <w:sz w:val="28"/>
          <w:szCs w:val="28"/>
        </w:rPr>
        <w:t xml:space="preserve">. </w:t>
      </w:r>
    </w:p>
    <w:p w:rsidR="00C53B19" w:rsidRPr="00BB4878" w:rsidRDefault="00BB30A1" w:rsidP="00BB30A1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53B19" w:rsidRPr="00BB4878" w:rsidRDefault="00C53B19" w:rsidP="00C53B19">
      <w:pPr>
        <w:widowControl w:val="0"/>
        <w:autoSpaceDE w:val="0"/>
        <w:autoSpaceDN w:val="0"/>
        <w:adjustRightInd w:val="0"/>
        <w:spacing w:after="0"/>
        <w:ind w:firstLine="710"/>
        <w:jc w:val="both"/>
        <w:rPr>
          <w:rFonts w:ascii="Arial" w:hAnsi="Arial" w:cs="Arial"/>
          <w:sz w:val="28"/>
          <w:szCs w:val="28"/>
        </w:rPr>
      </w:pPr>
      <w:r w:rsidRPr="00BB4878">
        <w:rPr>
          <w:rFonts w:ascii="Arial" w:hAnsi="Arial" w:cs="Arial"/>
          <w:sz w:val="28"/>
          <w:szCs w:val="28"/>
        </w:rPr>
        <w:t xml:space="preserve"> </w:t>
      </w:r>
    </w:p>
    <w:p w:rsidR="00C53B19" w:rsidRPr="00641B7B" w:rsidRDefault="00C53B19" w:rsidP="00BB30A1">
      <w:pPr>
        <w:pStyle w:val="a6"/>
        <w:numPr>
          <w:ilvl w:val="0"/>
          <w:numId w:val="1"/>
        </w:numPr>
        <w:ind w:left="0" w:firstLine="709"/>
        <w:jc w:val="both"/>
        <w:rPr>
          <w:rFonts w:ascii="Arial" w:hAnsi="Arial" w:cs="Arial"/>
          <w:b w:val="0"/>
          <w:szCs w:val="28"/>
        </w:rPr>
      </w:pPr>
      <w:r w:rsidRPr="00641B7B">
        <w:rPr>
          <w:rFonts w:ascii="Arial" w:hAnsi="Arial" w:cs="Arial"/>
          <w:b w:val="0"/>
          <w:szCs w:val="28"/>
        </w:rPr>
        <w:t xml:space="preserve">Постановлением кассационной инстанции </w:t>
      </w:r>
      <w:proofErr w:type="spellStart"/>
      <w:r w:rsidRPr="00641B7B">
        <w:rPr>
          <w:rFonts w:ascii="Arial" w:hAnsi="Arial" w:cs="Arial"/>
          <w:b w:val="0"/>
          <w:szCs w:val="28"/>
        </w:rPr>
        <w:t>Акмолинского</w:t>
      </w:r>
      <w:proofErr w:type="spellEnd"/>
      <w:r w:rsidRPr="00641B7B">
        <w:rPr>
          <w:rFonts w:ascii="Arial" w:hAnsi="Arial" w:cs="Arial"/>
          <w:b w:val="0"/>
          <w:szCs w:val="28"/>
        </w:rPr>
        <w:t xml:space="preserve"> областного суда  от 20 июня 2013 года оставлено без изменения решение  по иску ГКП «Б»   к У., ГУ «О»     о  направлении  на принудительное  лечение Ч., поступившее по кассационной  жалобе   Ч.  на   решение </w:t>
      </w:r>
      <w:proofErr w:type="spellStart"/>
      <w:r w:rsidRPr="00641B7B">
        <w:rPr>
          <w:rFonts w:ascii="Arial" w:hAnsi="Arial" w:cs="Arial"/>
          <w:b w:val="0"/>
          <w:szCs w:val="28"/>
        </w:rPr>
        <w:t>Бурабайского</w:t>
      </w:r>
      <w:proofErr w:type="spellEnd"/>
      <w:r w:rsidRPr="00641B7B">
        <w:rPr>
          <w:rFonts w:ascii="Arial" w:hAnsi="Arial" w:cs="Arial"/>
          <w:b w:val="0"/>
          <w:szCs w:val="28"/>
        </w:rPr>
        <w:t xml:space="preserve">  районного   суда  </w:t>
      </w:r>
      <w:proofErr w:type="spellStart"/>
      <w:r w:rsidRPr="00641B7B">
        <w:rPr>
          <w:rFonts w:ascii="Arial" w:hAnsi="Arial" w:cs="Arial"/>
          <w:b w:val="0"/>
          <w:szCs w:val="28"/>
        </w:rPr>
        <w:t>Акмолинской</w:t>
      </w:r>
      <w:proofErr w:type="spellEnd"/>
      <w:r w:rsidRPr="00641B7B">
        <w:rPr>
          <w:rFonts w:ascii="Arial" w:hAnsi="Arial" w:cs="Arial"/>
          <w:b w:val="0"/>
          <w:szCs w:val="28"/>
        </w:rPr>
        <w:t xml:space="preserve">  области  от  19  марта    2013  года.</w:t>
      </w:r>
    </w:p>
    <w:p w:rsidR="00C53B19" w:rsidRPr="00641B7B" w:rsidRDefault="00C53B19" w:rsidP="00C53B19">
      <w:pPr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Спустя месяц, </w:t>
      </w:r>
      <w:r w:rsidRPr="00641B7B">
        <w:rPr>
          <w:rFonts w:ascii="Arial" w:hAnsi="Arial" w:cs="Arial"/>
          <w:sz w:val="28"/>
          <w:szCs w:val="28"/>
        </w:rPr>
        <w:t>29 июля 2013 года от Ч. поступило в суд заявление о пересмотре по вновь открывшимся обстоятельствам.</w:t>
      </w:r>
    </w:p>
    <w:p w:rsidR="00C53B19" w:rsidRPr="00641B7B" w:rsidRDefault="00C53B19" w:rsidP="00C53B19">
      <w:pPr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41B7B">
        <w:rPr>
          <w:rFonts w:ascii="Arial" w:hAnsi="Arial" w:cs="Arial"/>
          <w:sz w:val="28"/>
          <w:szCs w:val="28"/>
        </w:rPr>
        <w:t>В качестве основания заявитель указала, что  суду не были представлены сведения о несовершеннолетнем ребенке, который находится на ее иждивении</w:t>
      </w:r>
      <w:r>
        <w:rPr>
          <w:rFonts w:ascii="Arial" w:hAnsi="Arial" w:cs="Arial"/>
          <w:sz w:val="28"/>
          <w:szCs w:val="28"/>
        </w:rPr>
        <w:t xml:space="preserve">. </w:t>
      </w:r>
    </w:p>
    <w:p w:rsidR="00C53B19" w:rsidRPr="00641B7B" w:rsidRDefault="00C53B19" w:rsidP="00C53B19">
      <w:pPr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41B7B">
        <w:rPr>
          <w:rFonts w:ascii="Arial" w:hAnsi="Arial" w:cs="Arial"/>
          <w:sz w:val="28"/>
          <w:szCs w:val="28"/>
        </w:rPr>
        <w:t xml:space="preserve">Определением </w:t>
      </w:r>
      <w:proofErr w:type="spellStart"/>
      <w:r w:rsidRPr="00641B7B">
        <w:rPr>
          <w:rFonts w:ascii="Arial" w:hAnsi="Arial" w:cs="Arial"/>
          <w:sz w:val="28"/>
          <w:szCs w:val="28"/>
        </w:rPr>
        <w:t>Бурабайского</w:t>
      </w:r>
      <w:proofErr w:type="spellEnd"/>
      <w:r w:rsidRPr="00641B7B">
        <w:rPr>
          <w:rFonts w:ascii="Arial" w:hAnsi="Arial" w:cs="Arial"/>
          <w:sz w:val="28"/>
          <w:szCs w:val="28"/>
        </w:rPr>
        <w:t xml:space="preserve"> районного суда от 1 августа 2013 года заявление удовлетворено, решение суда от 19 марта 2013 года отменено.</w:t>
      </w:r>
    </w:p>
    <w:p w:rsidR="00C53B19" w:rsidRPr="00641B7B" w:rsidRDefault="00C53B19" w:rsidP="00C53B19">
      <w:pPr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41B7B">
        <w:rPr>
          <w:rFonts w:ascii="Arial" w:hAnsi="Arial" w:cs="Arial"/>
          <w:sz w:val="28"/>
          <w:szCs w:val="28"/>
        </w:rPr>
        <w:t>В последующем, определением суда от 5 августа 2013 года заявление оставлено без рассмотрения по подпункту 9) статьи 249 ГПК (в связи с отзывом).</w:t>
      </w:r>
    </w:p>
    <w:p w:rsidR="00C53B19" w:rsidRPr="00074EB5" w:rsidRDefault="00C725F0" w:rsidP="00C53B19">
      <w:pPr>
        <w:shd w:val="clear" w:color="auto" w:fill="FFFFFF"/>
        <w:spacing w:after="0" w:line="240" w:lineRule="auto"/>
        <w:ind w:left="10" w:firstLine="730"/>
        <w:jc w:val="both"/>
        <w:rPr>
          <w:rFonts w:ascii="Arial" w:hAnsi="Arial" w:cs="Arial"/>
          <w:strike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725F0" w:rsidRPr="00BB30A1" w:rsidRDefault="00C725F0" w:rsidP="00C725F0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trike/>
          <w:sz w:val="28"/>
          <w:szCs w:val="28"/>
        </w:rPr>
      </w:pPr>
    </w:p>
    <w:p w:rsidR="00C53B19" w:rsidRPr="00BB30A1" w:rsidRDefault="00C53B19" w:rsidP="00C53B19">
      <w:pPr>
        <w:shd w:val="clear" w:color="auto" w:fill="FFFFFF"/>
        <w:spacing w:after="0" w:line="240" w:lineRule="auto"/>
        <w:ind w:left="10" w:firstLine="730"/>
        <w:jc w:val="both"/>
        <w:rPr>
          <w:rFonts w:ascii="Arial" w:hAnsi="Arial" w:cs="Arial"/>
          <w:sz w:val="24"/>
          <w:szCs w:val="24"/>
        </w:rPr>
      </w:pPr>
      <w:r w:rsidRPr="00BB30A1">
        <w:rPr>
          <w:rFonts w:ascii="Arial" w:hAnsi="Arial" w:cs="Arial"/>
          <w:sz w:val="24"/>
          <w:szCs w:val="24"/>
        </w:rPr>
        <w:t xml:space="preserve"> </w:t>
      </w:r>
    </w:p>
    <w:p w:rsidR="00C53B19" w:rsidRPr="00BB30A1" w:rsidRDefault="00C53B19" w:rsidP="00C53B19">
      <w:pPr>
        <w:shd w:val="clear" w:color="auto" w:fill="FFFFFF"/>
        <w:spacing w:after="0" w:line="240" w:lineRule="auto"/>
        <w:ind w:left="10" w:firstLine="730"/>
        <w:jc w:val="both"/>
        <w:rPr>
          <w:rFonts w:ascii="Arial" w:hAnsi="Arial" w:cs="Arial"/>
          <w:sz w:val="24"/>
          <w:szCs w:val="24"/>
        </w:rPr>
      </w:pPr>
    </w:p>
    <w:p w:rsidR="00C53B19" w:rsidRPr="00BB30A1" w:rsidRDefault="00C53B19" w:rsidP="00C53B19">
      <w:pPr>
        <w:shd w:val="clear" w:color="auto" w:fill="FFFFFF"/>
        <w:spacing w:after="0" w:line="240" w:lineRule="auto"/>
        <w:ind w:left="10" w:hanging="10"/>
        <w:rPr>
          <w:rFonts w:ascii="Arial" w:hAnsi="Arial" w:cs="Arial"/>
          <w:b/>
          <w:sz w:val="28"/>
          <w:szCs w:val="28"/>
        </w:rPr>
      </w:pPr>
      <w:r w:rsidRPr="00BB30A1">
        <w:rPr>
          <w:rFonts w:ascii="Arial" w:hAnsi="Arial" w:cs="Arial"/>
          <w:b/>
          <w:sz w:val="28"/>
          <w:szCs w:val="28"/>
        </w:rPr>
        <w:t>Отдел анализа и планирования</w:t>
      </w:r>
      <w:bookmarkStart w:id="0" w:name="_GoBack"/>
      <w:bookmarkEnd w:id="0"/>
    </w:p>
    <w:sectPr w:rsidR="00C53B19" w:rsidRPr="00BB30A1" w:rsidSect="00C725F0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8C0"/>
    <w:multiLevelType w:val="hybridMultilevel"/>
    <w:tmpl w:val="36AA870E"/>
    <w:lvl w:ilvl="0" w:tplc="89AAD202">
      <w:start w:val="1"/>
      <w:numFmt w:val="decimal"/>
      <w:lvlText w:val="%1."/>
      <w:lvlJc w:val="left"/>
      <w:pPr>
        <w:ind w:left="1065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CF0A6C"/>
    <w:multiLevelType w:val="hybridMultilevel"/>
    <w:tmpl w:val="7194C9B6"/>
    <w:lvl w:ilvl="0" w:tplc="00BED1C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C326B58"/>
    <w:multiLevelType w:val="hybridMultilevel"/>
    <w:tmpl w:val="8E968F8C"/>
    <w:lvl w:ilvl="0" w:tplc="F8C42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39"/>
    <w:rsid w:val="00074EB5"/>
    <w:rsid w:val="00155BA9"/>
    <w:rsid w:val="001747C9"/>
    <w:rsid w:val="002A6739"/>
    <w:rsid w:val="00397FF5"/>
    <w:rsid w:val="0041289B"/>
    <w:rsid w:val="006269F0"/>
    <w:rsid w:val="00637FE4"/>
    <w:rsid w:val="00696522"/>
    <w:rsid w:val="00845EC1"/>
    <w:rsid w:val="008E73E6"/>
    <w:rsid w:val="00975B9D"/>
    <w:rsid w:val="00AD7275"/>
    <w:rsid w:val="00BB30A1"/>
    <w:rsid w:val="00C52DD0"/>
    <w:rsid w:val="00C53B19"/>
    <w:rsid w:val="00C711BA"/>
    <w:rsid w:val="00C725F0"/>
    <w:rsid w:val="00E03B2F"/>
    <w:rsid w:val="00E7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B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3B19"/>
    <w:pPr>
      <w:ind w:left="720"/>
      <w:contextualSpacing/>
    </w:pPr>
  </w:style>
  <w:style w:type="paragraph" w:styleId="a6">
    <w:name w:val="Body Text"/>
    <w:basedOn w:val="a"/>
    <w:link w:val="a7"/>
    <w:rsid w:val="00C53B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53B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8">
    <w:name w:val="Table Grid"/>
    <w:basedOn w:val="a1"/>
    <w:uiPriority w:val="59"/>
    <w:rsid w:val="00C5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B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3B19"/>
    <w:pPr>
      <w:ind w:left="720"/>
      <w:contextualSpacing/>
    </w:pPr>
  </w:style>
  <w:style w:type="paragraph" w:styleId="a6">
    <w:name w:val="Body Text"/>
    <w:basedOn w:val="a"/>
    <w:link w:val="a7"/>
    <w:rsid w:val="00C53B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53B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8">
    <w:name w:val="Table Grid"/>
    <w:basedOn w:val="a1"/>
    <w:uiPriority w:val="59"/>
    <w:rsid w:val="00C5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Поступило заявлений о пересмотре судебного акта по вновь открывшимся обстоятельствам в разрезе судебных инстанций за 2013 год</a:t>
            </a:r>
          </a:p>
        </c:rich>
      </c:tx>
      <c:overlay val="0"/>
    </c:title>
    <c:autoTitleDeleted val="0"/>
    <c:view3D>
      <c:rotX val="30"/>
      <c:rotY val="204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285178638384491E-2"/>
          <c:y val="0.27545559757786187"/>
          <c:w val="0.68229997023567956"/>
          <c:h val="0.537072147477628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Поступило заявлений о пересмотре судебного акта в разрезе вышестоящих инстанции за 2013 год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400"/>
                      <a:t>225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400"/>
                      <a:t>6</a:t>
                    </a:r>
                    <a:r>
                      <a:rPr lang="ru-RU" sz="1400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400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1 инстанция</c:v>
                </c:pt>
                <c:pt idx="1">
                  <c:v>апелляция</c:v>
                </c:pt>
                <c:pt idx="2">
                  <c:v>кассация</c:v>
                </c:pt>
                <c:pt idx="3">
                  <c:v>надзор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3538</c:v>
                </c:pt>
                <c:pt idx="1">
                  <c:v>400</c:v>
                </c:pt>
                <c:pt idx="2">
                  <c:v>150</c:v>
                </c:pt>
                <c:pt idx="3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487387227721921E-2"/>
          <c:y val="0.15744070249793982"/>
          <c:w val="0.87693276282586852"/>
          <c:h val="0.7358865366103644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599471323388534E-2"/>
                  <c:y val="3.36463236225274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73309345047181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  <a:r>
                      <a:rPr lang="ru-RU"/>
                      <a:t>3</a:t>
                    </a:r>
                    <a:r>
                      <a:rPr lang="en-US"/>
                      <a:t>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3053</c:v>
                </c:pt>
                <c:pt idx="1">
                  <c:v>3578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Колличество заявлений о пересмотре судебных актов по вновь открывшимся обстоятельствам по 1инстанции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144424454205993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1">
                  <c:v>1000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8"/>
        <c:gapDepth val="8"/>
        <c:shape val="cylinder"/>
        <c:axId val="184447744"/>
        <c:axId val="184449280"/>
        <c:axId val="0"/>
      </c:bar3DChart>
      <c:catAx>
        <c:axId val="184447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4449280"/>
        <c:crosses val="autoZero"/>
        <c:auto val="1"/>
        <c:lblAlgn val="ctr"/>
        <c:lblOffset val="100"/>
        <c:noMultiLvlLbl val="0"/>
      </c:catAx>
      <c:valAx>
        <c:axId val="184449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44477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Мангистауская</c:v>
                </c:pt>
                <c:pt idx="1">
                  <c:v>Атырауская</c:v>
                </c:pt>
                <c:pt idx="2">
                  <c:v>Военный суд</c:v>
                </c:pt>
                <c:pt idx="3">
                  <c:v>Западно-Казахстанская</c:v>
                </c:pt>
                <c:pt idx="4">
                  <c:v>Кызылординская</c:v>
                </c:pt>
                <c:pt idx="5">
                  <c:v>Костанайская</c:v>
                </c:pt>
                <c:pt idx="6">
                  <c:v>Павлодарская</c:v>
                </c:pt>
                <c:pt idx="7">
                  <c:v>Северо-Казахстанская</c:v>
                </c:pt>
                <c:pt idx="8">
                  <c:v>Жамбылская</c:v>
                </c:pt>
                <c:pt idx="9">
                  <c:v>Актюбинская</c:v>
                </c:pt>
                <c:pt idx="10">
                  <c:v>Акмолинская</c:v>
                </c:pt>
                <c:pt idx="11">
                  <c:v>Восточно-Казахстанская</c:v>
                </c:pt>
                <c:pt idx="12">
                  <c:v>Астана</c:v>
                </c:pt>
                <c:pt idx="13">
                  <c:v>Алматинская </c:v>
                </c:pt>
                <c:pt idx="14">
                  <c:v>Алматы</c:v>
                </c:pt>
                <c:pt idx="15">
                  <c:v>Южно-Казахстанская</c:v>
                </c:pt>
                <c:pt idx="16">
                  <c:v>Карагандинская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77</c:v>
                </c:pt>
                <c:pt idx="1">
                  <c:v>114</c:v>
                </c:pt>
                <c:pt idx="2">
                  <c:v>16</c:v>
                </c:pt>
                <c:pt idx="3">
                  <c:v>45</c:v>
                </c:pt>
                <c:pt idx="4">
                  <c:v>90</c:v>
                </c:pt>
                <c:pt idx="5">
                  <c:v>180</c:v>
                </c:pt>
                <c:pt idx="6">
                  <c:v>121</c:v>
                </c:pt>
                <c:pt idx="7">
                  <c:v>141</c:v>
                </c:pt>
                <c:pt idx="8">
                  <c:v>82</c:v>
                </c:pt>
                <c:pt idx="9">
                  <c:v>176</c:v>
                </c:pt>
                <c:pt idx="10">
                  <c:v>100</c:v>
                </c:pt>
                <c:pt idx="11">
                  <c:v>183</c:v>
                </c:pt>
                <c:pt idx="12">
                  <c:v>345</c:v>
                </c:pt>
                <c:pt idx="13">
                  <c:v>301</c:v>
                </c:pt>
                <c:pt idx="14">
                  <c:v>429</c:v>
                </c:pt>
                <c:pt idx="15">
                  <c:v>292</c:v>
                </c:pt>
                <c:pt idx="16">
                  <c:v>361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Мангистауская</c:v>
                </c:pt>
                <c:pt idx="1">
                  <c:v>Атырауская</c:v>
                </c:pt>
                <c:pt idx="2">
                  <c:v>Военный суд</c:v>
                </c:pt>
                <c:pt idx="3">
                  <c:v>Западно-Казахстанская</c:v>
                </c:pt>
                <c:pt idx="4">
                  <c:v>Кызылординская</c:v>
                </c:pt>
                <c:pt idx="5">
                  <c:v>Костанайская</c:v>
                </c:pt>
                <c:pt idx="6">
                  <c:v>Павлодарская</c:v>
                </c:pt>
                <c:pt idx="7">
                  <c:v>Северо-Казахстанская</c:v>
                </c:pt>
                <c:pt idx="8">
                  <c:v>Жамбылская</c:v>
                </c:pt>
                <c:pt idx="9">
                  <c:v>Актюбинская</c:v>
                </c:pt>
                <c:pt idx="10">
                  <c:v>Акмолинская</c:v>
                </c:pt>
                <c:pt idx="11">
                  <c:v>Восточно-Казахстанская</c:v>
                </c:pt>
                <c:pt idx="12">
                  <c:v>Астана</c:v>
                </c:pt>
                <c:pt idx="13">
                  <c:v>Алматинская </c:v>
                </c:pt>
                <c:pt idx="14">
                  <c:v>Алматы</c:v>
                </c:pt>
                <c:pt idx="15">
                  <c:v>Южно-Казахстанская</c:v>
                </c:pt>
                <c:pt idx="16">
                  <c:v>Карагандинская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68</c:v>
                </c:pt>
                <c:pt idx="1">
                  <c:v>76</c:v>
                </c:pt>
                <c:pt idx="2">
                  <c:v>77</c:v>
                </c:pt>
                <c:pt idx="3">
                  <c:v>109</c:v>
                </c:pt>
                <c:pt idx="4">
                  <c:v>123</c:v>
                </c:pt>
                <c:pt idx="5">
                  <c:v>123</c:v>
                </c:pt>
                <c:pt idx="6">
                  <c:v>138</c:v>
                </c:pt>
                <c:pt idx="7">
                  <c:v>146</c:v>
                </c:pt>
                <c:pt idx="8">
                  <c:v>157</c:v>
                </c:pt>
                <c:pt idx="9">
                  <c:v>157</c:v>
                </c:pt>
                <c:pt idx="10">
                  <c:v>194</c:v>
                </c:pt>
                <c:pt idx="11">
                  <c:v>218</c:v>
                </c:pt>
                <c:pt idx="12">
                  <c:v>240</c:v>
                </c:pt>
                <c:pt idx="13">
                  <c:v>324</c:v>
                </c:pt>
                <c:pt idx="14">
                  <c:v>427</c:v>
                </c:pt>
                <c:pt idx="15">
                  <c:v>443</c:v>
                </c:pt>
                <c:pt idx="16">
                  <c:v>518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096832"/>
        <c:axId val="185102720"/>
      </c:barChart>
      <c:catAx>
        <c:axId val="18509683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102720"/>
        <c:crosses val="autoZero"/>
        <c:auto val="1"/>
        <c:lblAlgn val="ctr"/>
        <c:lblOffset val="100"/>
        <c:noMultiLvlLbl val="0"/>
      </c:catAx>
      <c:valAx>
        <c:axId val="1851027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096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68094602805933"/>
          <c:y val="0.44855686153111707"/>
          <c:w val="0.1304879783609148"/>
          <c:h val="8.1658424171645996E-2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Результаты рассмотрения  заявлений о пересмотре дел </a:t>
            </a:r>
          </a:p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в судах первой инстанции за 2013 год</a:t>
            </a:r>
          </a:p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						                                        всего поступило</a:t>
            </a:r>
            <a:r>
              <a:rPr lang="ru-RU" baseline="0"/>
              <a:t> - 3538</a:t>
            </a:r>
            <a:endParaRPr lang="ru-RU"/>
          </a:p>
        </c:rich>
      </c:tx>
      <c:layout>
        <c:manualLayout>
          <c:xMode val="edge"/>
          <c:yMode val="edge"/>
          <c:x val="0.20894528960578956"/>
          <c:y val="6.0026654699250691E-2"/>
        </c:manualLayout>
      </c:layout>
      <c:overlay val="0"/>
    </c:title>
    <c:autoTitleDeleted val="0"/>
    <c:view3D>
      <c:rotX val="30"/>
      <c:rotY val="218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640241734802706"/>
          <c:w val="0.63816425875291449"/>
          <c:h val="0.603629350546110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рассмотрения  заявлений о пересмотре дел в судах первой инстанции за 2013 год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21,</a:t>
                    </a:r>
                    <a:r>
                      <a:rPr lang="en-US"/>
                      <a:t>5</a:t>
                    </a:r>
                    <a:r>
                      <a:rPr lang="ru-RU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51,5%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поступило - 3538</c:v>
                </c:pt>
                <c:pt idx="1">
                  <c:v>удовлетворено - 916</c:v>
                </c:pt>
                <c:pt idx="2">
                  <c:v>отказано - 759</c:v>
                </c:pt>
                <c:pt idx="3">
                  <c:v>возвращено -1824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916</c:v>
                </c:pt>
                <c:pt idx="2">
                  <c:v>759</c:v>
                </c:pt>
                <c:pt idx="3">
                  <c:v>1824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5275743444690781"/>
          <c:y val="0.36542341533733164"/>
          <c:w val="0.32540444580349798"/>
          <c:h val="0.51665728312458381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4.703075036968690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1935221580448557E-2"/>
                  <c:y val="-1.1187259525582794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Костанайская</c:v>
                </c:pt>
                <c:pt idx="1">
                  <c:v>Мангистауская</c:v>
                </c:pt>
                <c:pt idx="2">
                  <c:v>Актюбинская</c:v>
                </c:pt>
                <c:pt idx="3">
                  <c:v>Восточно-Казахстанская</c:v>
                </c:pt>
                <c:pt idx="4">
                  <c:v>Жамбылская</c:v>
                </c:pt>
                <c:pt idx="5">
                  <c:v>Астана</c:v>
                </c:pt>
                <c:pt idx="6">
                  <c:v>Военный суд</c:v>
                </c:pt>
                <c:pt idx="7">
                  <c:v>Павлодарская</c:v>
                </c:pt>
                <c:pt idx="8">
                  <c:v>Атырауская</c:v>
                </c:pt>
                <c:pt idx="9">
                  <c:v>Западно-Казахстанская</c:v>
                </c:pt>
                <c:pt idx="10">
                  <c:v>Кызылординская</c:v>
                </c:pt>
                <c:pt idx="11">
                  <c:v>Северо-Казахстанская</c:v>
                </c:pt>
                <c:pt idx="12">
                  <c:v>Алматы</c:v>
                </c:pt>
                <c:pt idx="13">
                  <c:v>Южно-Казахстанская</c:v>
                </c:pt>
                <c:pt idx="14">
                  <c:v>Акмолинская</c:v>
                </c:pt>
                <c:pt idx="15">
                  <c:v>Алматинская </c:v>
                </c:pt>
                <c:pt idx="16">
                  <c:v>Карагандинская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47</c:v>
                </c:pt>
                <c:pt idx="1">
                  <c:v>20</c:v>
                </c:pt>
                <c:pt idx="2">
                  <c:v>41</c:v>
                </c:pt>
                <c:pt idx="3">
                  <c:v>15</c:v>
                </c:pt>
                <c:pt idx="4">
                  <c:v>30</c:v>
                </c:pt>
                <c:pt idx="5">
                  <c:v>27</c:v>
                </c:pt>
                <c:pt idx="6">
                  <c:v>7</c:v>
                </c:pt>
                <c:pt idx="7">
                  <c:v>31</c:v>
                </c:pt>
                <c:pt idx="8">
                  <c:v>58</c:v>
                </c:pt>
                <c:pt idx="9">
                  <c:v>19</c:v>
                </c:pt>
                <c:pt idx="10">
                  <c:v>39</c:v>
                </c:pt>
                <c:pt idx="11">
                  <c:v>30</c:v>
                </c:pt>
                <c:pt idx="12">
                  <c:v>79</c:v>
                </c:pt>
                <c:pt idx="13">
                  <c:v>41</c:v>
                </c:pt>
                <c:pt idx="14">
                  <c:v>37</c:v>
                </c:pt>
                <c:pt idx="15">
                  <c:v>103</c:v>
                </c:pt>
                <c:pt idx="16">
                  <c:v>161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9482985975067691E-2"/>
                  <c:y val="1.1187259525582794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904930423022922E-2"/>
                  <c:y val="-1.1187259525582794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Костанайская</c:v>
                </c:pt>
                <c:pt idx="1">
                  <c:v>Мангистауская</c:v>
                </c:pt>
                <c:pt idx="2">
                  <c:v>Актюбинская</c:v>
                </c:pt>
                <c:pt idx="3">
                  <c:v>Восточно-Казахстанская</c:v>
                </c:pt>
                <c:pt idx="4">
                  <c:v>Жамбылская</c:v>
                </c:pt>
                <c:pt idx="5">
                  <c:v>Астана</c:v>
                </c:pt>
                <c:pt idx="6">
                  <c:v>Военный суд</c:v>
                </c:pt>
                <c:pt idx="7">
                  <c:v>Павлодарская</c:v>
                </c:pt>
                <c:pt idx="8">
                  <c:v>Атырауская</c:v>
                </c:pt>
                <c:pt idx="9">
                  <c:v>Западно-Казахстанская</c:v>
                </c:pt>
                <c:pt idx="10">
                  <c:v>Кызылординская</c:v>
                </c:pt>
                <c:pt idx="11">
                  <c:v>Северо-Казахстанская</c:v>
                </c:pt>
                <c:pt idx="12">
                  <c:v>Алматы</c:v>
                </c:pt>
                <c:pt idx="13">
                  <c:v>Южно-Казахстанская</c:v>
                </c:pt>
                <c:pt idx="14">
                  <c:v>Акмолинская</c:v>
                </c:pt>
                <c:pt idx="15">
                  <c:v>Алматинская </c:v>
                </c:pt>
                <c:pt idx="16">
                  <c:v>Карагандинская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11</c:v>
                </c:pt>
                <c:pt idx="1">
                  <c:v>12</c:v>
                </c:pt>
                <c:pt idx="2">
                  <c:v>17</c:v>
                </c:pt>
                <c:pt idx="3">
                  <c:v>21</c:v>
                </c:pt>
                <c:pt idx="4">
                  <c:v>24</c:v>
                </c:pt>
                <c:pt idx="5">
                  <c:v>26</c:v>
                </c:pt>
                <c:pt idx="6">
                  <c:v>27</c:v>
                </c:pt>
                <c:pt idx="7">
                  <c:v>33</c:v>
                </c:pt>
                <c:pt idx="8">
                  <c:v>39</c:v>
                </c:pt>
                <c:pt idx="9">
                  <c:v>44</c:v>
                </c:pt>
                <c:pt idx="10">
                  <c:v>58</c:v>
                </c:pt>
                <c:pt idx="11">
                  <c:v>68</c:v>
                </c:pt>
                <c:pt idx="12">
                  <c:v>82</c:v>
                </c:pt>
                <c:pt idx="13">
                  <c:v>88</c:v>
                </c:pt>
                <c:pt idx="14">
                  <c:v>91</c:v>
                </c:pt>
                <c:pt idx="15">
                  <c:v>131</c:v>
                </c:pt>
                <c:pt idx="16">
                  <c:v>144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829056"/>
        <c:axId val="184830592"/>
      </c:barChart>
      <c:catAx>
        <c:axId val="18482905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4830592"/>
        <c:crosses val="autoZero"/>
        <c:auto val="1"/>
        <c:lblAlgn val="ctr"/>
        <c:lblOffset val="100"/>
        <c:noMultiLvlLbl val="0"/>
      </c:catAx>
      <c:valAx>
        <c:axId val="1848305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4829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68094602805933"/>
          <c:y val="0.44855686153111707"/>
          <c:w val="0.1304879783609148"/>
          <c:h val="8.1658424171645996E-2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Атырауская</c:v>
                </c:pt>
                <c:pt idx="1">
                  <c:v>Восточно-Казахстанская</c:v>
                </c:pt>
                <c:pt idx="2">
                  <c:v>Кызылординская</c:v>
                </c:pt>
                <c:pt idx="3">
                  <c:v>Южно-Казахстанская</c:v>
                </c:pt>
                <c:pt idx="4">
                  <c:v>Мангистауская</c:v>
                </c:pt>
                <c:pt idx="5">
                  <c:v>Военный суд</c:v>
                </c:pt>
                <c:pt idx="6">
                  <c:v>Актюбинская</c:v>
                </c:pt>
                <c:pt idx="7">
                  <c:v>Акмолинская</c:v>
                </c:pt>
                <c:pt idx="8">
                  <c:v>Костанайская</c:v>
                </c:pt>
                <c:pt idx="9">
                  <c:v>Павлодарская</c:v>
                </c:pt>
                <c:pt idx="10">
                  <c:v>Астана</c:v>
                </c:pt>
                <c:pt idx="11">
                  <c:v>Алматы</c:v>
                </c:pt>
                <c:pt idx="12">
                  <c:v>Западно-Казахстанская</c:v>
                </c:pt>
                <c:pt idx="13">
                  <c:v>Карагандинская</c:v>
                </c:pt>
                <c:pt idx="14">
                  <c:v>Алматинская </c:v>
                </c:pt>
                <c:pt idx="15">
                  <c:v>Жамбылская</c:v>
                </c:pt>
                <c:pt idx="16">
                  <c:v>Северо-Казахстанская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6</c:v>
                </c:pt>
                <c:pt idx="10">
                  <c:v>7</c:v>
                </c:pt>
                <c:pt idx="11">
                  <c:v>7</c:v>
                </c:pt>
                <c:pt idx="12">
                  <c:v>10</c:v>
                </c:pt>
                <c:pt idx="13">
                  <c:v>10</c:v>
                </c:pt>
                <c:pt idx="14">
                  <c:v>14</c:v>
                </c:pt>
                <c:pt idx="15">
                  <c:v>14</c:v>
                </c:pt>
                <c:pt idx="16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833472"/>
        <c:axId val="179835264"/>
      </c:barChart>
      <c:catAx>
        <c:axId val="17983347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9835264"/>
        <c:crosses val="autoZero"/>
        <c:auto val="1"/>
        <c:lblAlgn val="ctr"/>
        <c:lblOffset val="100"/>
        <c:noMultiLvlLbl val="0"/>
      </c:catAx>
      <c:valAx>
        <c:axId val="1798352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9833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68094602805933"/>
          <c:y val="0.44855686153111707"/>
          <c:w val="0.1304879783609148"/>
          <c:h val="8.1658424171645996E-2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42B61-8EC1-4855-9621-4A486F14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18</cp:revision>
  <dcterms:created xsi:type="dcterms:W3CDTF">2015-02-09T10:07:00Z</dcterms:created>
  <dcterms:modified xsi:type="dcterms:W3CDTF">2015-02-10T04:31:00Z</dcterms:modified>
</cp:coreProperties>
</file>