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C" w:rsidRDefault="00F2187C"/>
    <w:p w:rsidR="00F2187C" w:rsidRDefault="00F2187C"/>
    <w:p w:rsidR="00F2187C" w:rsidRDefault="00F2187C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4560"/>
        <w:gridCol w:w="3260"/>
        <w:gridCol w:w="2820"/>
        <w:gridCol w:w="3880"/>
      </w:tblGrid>
      <w:tr w:rsidR="00F2187C" w:rsidRPr="00330B73" w:rsidTr="0064602F">
        <w:trPr>
          <w:trHeight w:val="405"/>
        </w:trPr>
        <w:tc>
          <w:tcPr>
            <w:tcW w:w="1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3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Бюджет Верховного Суда Республики Казахстан </w:t>
            </w:r>
            <w:r w:rsidR="003C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kk-KZ" w:eastAsia="ru-RU"/>
              </w:rPr>
              <w:t>за 9 месяцев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4E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9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</w:tr>
      <w:tr w:rsidR="00F2187C" w:rsidRPr="00330B73" w:rsidTr="0064602F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2187C" w:rsidRPr="00330B73" w:rsidTr="0064602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тенге</w:t>
            </w:r>
          </w:p>
        </w:tc>
      </w:tr>
      <w:tr w:rsidR="00F2187C" w:rsidRPr="00330B73" w:rsidTr="0064602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F2187C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F2187C" w:rsidP="00B9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="004E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5A6484" w:rsidP="00B9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Освоено за </w:t>
            </w:r>
            <w:r w:rsidR="00B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7C" w:rsidRPr="00330B73" w:rsidRDefault="005A6484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Неосвоено</w:t>
            </w:r>
            <w:proofErr w:type="spellEnd"/>
          </w:p>
        </w:tc>
      </w:tr>
      <w:tr w:rsidR="00F2187C" w:rsidRPr="001F6571" w:rsidTr="0064602F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9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ховного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Суда РК,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C3200" w:rsidRDefault="003C3200" w:rsidP="005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42 175,4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C3200" w:rsidRDefault="003C3200" w:rsidP="00B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40 179,9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87C" w:rsidRPr="003C3200" w:rsidRDefault="00B92F1A" w:rsidP="003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C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C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995,5</w:t>
            </w:r>
          </w:p>
        </w:tc>
      </w:tr>
      <w:tr w:rsidR="00F2187C" w:rsidRPr="00330B73" w:rsidTr="0064602F">
        <w:trPr>
          <w:trHeight w:val="1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001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"Обеспечение судебными органами судебной защиты прав и законных интересов граждан и организаций"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27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41 797,1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5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39 809,1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3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1 988,0</w:t>
            </w:r>
          </w:p>
        </w:tc>
      </w:tr>
      <w:tr w:rsidR="00F2187C" w:rsidRPr="00330B73" w:rsidTr="0064602F">
        <w:trPr>
          <w:trHeight w:val="15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017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послевузовского образования, переподготовка и повышение квалификации судейских кадров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333,7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330,2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3,5</w:t>
            </w:r>
          </w:p>
        </w:tc>
      </w:tr>
      <w:tr w:rsidR="00F2187C" w:rsidRPr="00330B73" w:rsidTr="0064602F">
        <w:trPr>
          <w:trHeight w:val="72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</w:t>
            </w:r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распределительным программам в 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A96557" w:rsidP="0027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</w:t>
            </w:r>
            <w:r w:rsidR="00271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2187C" w:rsidRPr="00330B73" w:rsidRDefault="00A96557" w:rsidP="005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187C" w:rsidRPr="00330B73" w:rsidRDefault="00A96557" w:rsidP="0027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</w:t>
            </w:r>
            <w:r w:rsidR="00271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2187C" w:rsidRPr="00330B73" w:rsidTr="005A6484">
        <w:trPr>
          <w:trHeight w:val="12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30B73" w:rsidRDefault="00F2187C" w:rsidP="0064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Агенства</w:t>
            </w:r>
            <w:proofErr w:type="spellEnd"/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Казахстан по делам госслужбы 138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0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подготовке, переподготовке и повышению квалификации госслужащих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95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40,6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7C" w:rsidRPr="003C3200" w:rsidRDefault="003C3200" w:rsidP="0064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4,0</w:t>
            </w:r>
          </w:p>
        </w:tc>
      </w:tr>
    </w:tbl>
    <w:p w:rsidR="00F2187C" w:rsidRDefault="00F2187C"/>
    <w:p w:rsidR="00F2187C" w:rsidRDefault="00F2187C"/>
    <w:p w:rsidR="00F2187C" w:rsidRDefault="00F2187C"/>
    <w:p w:rsidR="00F2187C" w:rsidRDefault="00F2187C"/>
    <w:p w:rsidR="001534ED" w:rsidRDefault="001534ED"/>
    <w:p w:rsidR="00B62C42" w:rsidRDefault="00B62C42"/>
    <w:p w:rsidR="00B62C42" w:rsidRDefault="00B62C42" w:rsidP="00CC4CE8">
      <w:pPr>
        <w:jc w:val="center"/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</w:pPr>
    </w:p>
    <w:p w:rsidR="00F5413D" w:rsidRPr="00CC52ED" w:rsidRDefault="003E350D" w:rsidP="00CC4CE8">
      <w:pPr>
        <w:jc w:val="center"/>
        <w:rPr>
          <w:b/>
          <w:sz w:val="44"/>
          <w:szCs w:val="44"/>
          <w:lang w:val="kk-KZ"/>
        </w:rPr>
      </w:pP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ОСВОЕНИЕ</w:t>
      </w:r>
      <w:r w:rsidR="00CC52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БЮДЖЕТНЫ</w:t>
      </w:r>
      <w:r w:rsidR="007B529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Х </w:t>
      </w: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СРЕДСТВ</w:t>
      </w:r>
      <w:r w:rsidR="007B529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</w:t>
      </w:r>
      <w:r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ВЕРХОВНОГО СУДА РК </w:t>
      </w:r>
      <w:r w:rsidR="001534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на 1 </w:t>
      </w:r>
      <w:r w:rsidR="003C3200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  <w:lang w:val="kk-KZ"/>
        </w:rPr>
        <w:t>октября</w:t>
      </w:r>
      <w:r w:rsidR="00744FB4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20</w:t>
      </w:r>
      <w:r w:rsidR="004E693A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2</w:t>
      </w:r>
      <w:r w:rsidR="00271097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1</w:t>
      </w:r>
      <w:r w:rsidR="001534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>года</w:t>
      </w:r>
      <w:r w:rsidR="00CC52ED">
        <w:rPr>
          <w:rFonts w:ascii="Arial Narrow" w:eastAsia="+mn-ea" w:hAnsi="Arial Narrow" w:cs="Arial"/>
          <w:b/>
          <w:bCs/>
          <w:color w:val="4E67C8"/>
          <w:kern w:val="24"/>
          <w:sz w:val="44"/>
          <w:szCs w:val="44"/>
          <w:u w:val="single"/>
        </w:rPr>
        <w:t xml:space="preserve"> </w:t>
      </w:r>
    </w:p>
    <w:p w:rsidR="00F5413D" w:rsidRPr="00CC52ED" w:rsidRDefault="00F5413D">
      <w:pPr>
        <w:rPr>
          <w:lang w:val="kk-KZ"/>
        </w:rPr>
      </w:pPr>
    </w:p>
    <w:p w:rsidR="00385D45" w:rsidRDefault="00B92F1A" w:rsidP="001F6571">
      <w:pPr>
        <w:ind w:left="426"/>
      </w:pPr>
      <w:r>
        <w:rPr>
          <w:noProof/>
          <w:lang w:eastAsia="ru-RU"/>
        </w:rPr>
        <w:drawing>
          <wp:inline distT="0" distB="0" distL="0" distR="0" wp14:anchorId="4B8329C1" wp14:editId="01E5A184">
            <wp:extent cx="8665535" cy="4848446"/>
            <wp:effectExtent l="0" t="19050" r="2159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350D" w:rsidRDefault="003E350D"/>
    <w:p w:rsidR="003E350D" w:rsidRDefault="003E350D"/>
    <w:p w:rsidR="003E350D" w:rsidRDefault="003E350D"/>
    <w:p w:rsidR="00385D45" w:rsidRDefault="00A34241" w:rsidP="0068600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E23C" wp14:editId="5EB0FE99">
                <wp:simplePos x="0" y="0"/>
                <wp:positionH relativeFrom="column">
                  <wp:posOffset>10541635</wp:posOffset>
                </wp:positionH>
                <wp:positionV relativeFrom="paragraph">
                  <wp:posOffset>218440</wp:posOffset>
                </wp:positionV>
                <wp:extent cx="1053494" cy="369332"/>
                <wp:effectExtent l="0" t="0" r="0" b="0"/>
                <wp:wrapNone/>
                <wp:docPr id="172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9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4241" w:rsidRDefault="00A34241" w:rsidP="00A3424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Arial Narrow" w:eastAsia="+mn-ea" w:hAnsi="Arial Narrow" w:cs="Arial"/>
                                <w:color w:val="404040"/>
                                <w:kern w:val="24"/>
                                <w:u w:val="single"/>
                              </w:rPr>
                              <w:t>енге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26" style="position:absolute;margin-left:830.05pt;margin-top:17.2pt;width:82.95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" filled="f" stroked="f">
                <v:textbox style="mso-fit-shape-to-text:t">
                  <w:txbxContent>
                    <w:p w:rsidR="00A34241" w:rsidRDefault="00A34241" w:rsidP="00A3424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млн</w:t>
                      </w:r>
                      <w:proofErr w:type="gramStart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.т</w:t>
                      </w:r>
                      <w:proofErr w:type="gramEnd"/>
                      <w:r>
                        <w:rPr>
                          <w:rFonts w:ascii="Arial Narrow" w:eastAsia="+mn-ea" w:hAnsi="Arial Narrow" w:cs="Arial"/>
                          <w:color w:val="404040"/>
                          <w:kern w:val="24"/>
                          <w:u w:val="single"/>
                        </w:rPr>
                        <w:t>енге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C06F5">
        <w:rPr>
          <w:color w:val="0070C0"/>
          <w:sz w:val="48"/>
          <w:szCs w:val="48"/>
          <w:u w:val="single"/>
        </w:rPr>
        <w:t>ОСНОВНЫЕ ПРИЧИНЫ НЕИСПОЛНЕНИЯ</w:t>
      </w:r>
    </w:p>
    <w:tbl>
      <w:tblPr>
        <w:tblW w:w="14757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19"/>
        <w:gridCol w:w="1134"/>
        <w:gridCol w:w="6804"/>
      </w:tblGrid>
      <w:tr w:rsidR="003E350D" w:rsidRPr="00F15269" w:rsidTr="00E7467C">
        <w:trPr>
          <w:trHeight w:val="122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>дпрограмм</w:t>
            </w:r>
            <w:proofErr w:type="spellEnd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E350D" w:rsidRPr="00AA1316" w:rsidRDefault="006B225F" w:rsidP="004F67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val="kk-KZ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              </w:t>
            </w:r>
            <w:r w:rsidR="004F67A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>млн</w:t>
            </w:r>
            <w:r w:rsidR="003E350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kk-KZ" w:eastAsia="ru-RU"/>
              </w:rPr>
              <w:t>.тенге</w:t>
            </w:r>
          </w:p>
        </w:tc>
      </w:tr>
      <w:tr w:rsidR="003E350D" w:rsidRPr="00F15269" w:rsidTr="00E7467C">
        <w:trPr>
          <w:trHeight w:val="60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Наименование программ (подпрограмм)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F1241" w:rsidRDefault="004F67A7" w:rsidP="00BA3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="003E35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="003E35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350D" w:rsidRPr="003E350D" w:rsidRDefault="003E350D" w:rsidP="006B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5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неисполнения</w:t>
            </w:r>
          </w:p>
        </w:tc>
      </w:tr>
      <w:tr w:rsidR="003E350D" w:rsidRPr="00F15269" w:rsidTr="00E7467C">
        <w:trPr>
          <w:trHeight w:val="9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Программа 001 «Обеспечение судебными органами судебной защиты прав, свобод и законных интересов граждан и организации»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B9162E" w:rsidP="0078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8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 988,0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152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350D" w:rsidRPr="00F15269" w:rsidTr="00E7467C">
        <w:trPr>
          <w:trHeight w:val="17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100 «Обеспечение высшим судебным органом судебной защиты прав, свобод и законных интересов граждан 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3F7E18" w:rsidRDefault="003F7E18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226,5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0BB" w:rsidRDefault="003F7E18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191,9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тенге </w:t>
            </w:r>
            <w:r w:rsidR="00611D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несвоевременное предоставление актов выполненных работ, счетов-фактур;</w:t>
            </w:r>
          </w:p>
          <w:p w:rsidR="000D7D98" w:rsidRPr="000D7D98" w:rsidRDefault="003F7E18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27,7</w:t>
            </w:r>
            <w:r w:rsidR="000D7D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оплата по факту;</w:t>
            </w:r>
          </w:p>
          <w:p w:rsidR="003E350D" w:rsidRDefault="003F7E18" w:rsidP="006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0,6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 изменение графика  отпусков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1097" w:rsidRPr="00F15269" w:rsidRDefault="003F7E18" w:rsidP="00611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6,3</w:t>
            </w:r>
            <w:r w:rsidR="00271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договора находятся на стадии согласования</w:t>
            </w:r>
          </w:p>
        </w:tc>
      </w:tr>
      <w:tr w:rsidR="003E350D" w:rsidRPr="00F15269" w:rsidTr="00E7467C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104 «Обеспечение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B950C4" w:rsidRDefault="00B950C4" w:rsidP="000D7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326,8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557" w:rsidRPr="00F15269" w:rsidRDefault="00FD569E" w:rsidP="00686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326,8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тенге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50D" w:rsidRPr="00F15269" w:rsidTr="00E7467C">
        <w:trPr>
          <w:trHeight w:val="9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105 «Обеспечение отправления правосудия местными органами судебной власти»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B950C4" w:rsidRDefault="00B950C4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134,3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0330BC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65,2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тенге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несвоевременное предоставление актов выполненных работ, счетов-фактур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09AA" w:rsidRDefault="000809AA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0,8 млн.</w:t>
            </w:r>
            <w:r w:rsidR="00E74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договора находятся на стадии согласования;</w:t>
            </w:r>
          </w:p>
          <w:p w:rsidR="003E350D" w:rsidRDefault="000809AA" w:rsidP="00406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26,8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оплата по факту;</w:t>
            </w:r>
          </w:p>
          <w:p w:rsidR="004060BB" w:rsidRDefault="000809AA" w:rsidP="004060BB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40,</w:t>
            </w:r>
            <w:r w:rsidR="00E74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изменение графика отпусков;</w:t>
            </w:r>
          </w:p>
          <w:p w:rsidR="004060BB" w:rsidRPr="00F15269" w:rsidRDefault="000809AA" w:rsidP="00A01557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изменение графика </w:t>
            </w:r>
            <w:r w:rsidR="004060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командировок.</w:t>
            </w:r>
          </w:p>
        </w:tc>
      </w:tr>
      <w:tr w:rsidR="003E350D" w:rsidRPr="00F15269" w:rsidTr="00E7467C">
        <w:trPr>
          <w:trHeight w:val="709"/>
        </w:trPr>
        <w:tc>
          <w:tcPr>
            <w:tcW w:w="6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111 «Капитальные расходы органов судебной системы»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B950C4" w:rsidRDefault="00B950C4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211,3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DC5" w:rsidRDefault="000809AA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207,1</w:t>
            </w:r>
            <w:r w:rsidR="00611D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несвоевременное предоставление актов выполненных работ, счетов-фактур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09AA" w:rsidRPr="00F15269" w:rsidRDefault="000809AA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4,2 млн.</w:t>
            </w:r>
            <w:r w:rsidR="00E74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тенге </w:t>
            </w:r>
            <w:r w:rsidR="00E74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договора находятся на стадии согласования</w:t>
            </w:r>
          </w:p>
        </w:tc>
      </w:tr>
      <w:tr w:rsidR="003E350D" w:rsidRPr="00F15269" w:rsidTr="00E7467C">
        <w:trPr>
          <w:trHeight w:val="8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00D" w:rsidRDefault="006860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</w:p>
          <w:p w:rsidR="00E7467C" w:rsidRDefault="00E7467C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</w:p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 w:rsidRPr="00F15269"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Подпрограммы 112 « Строительство объектов органов судебной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0809AA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467C" w:rsidRDefault="00E7467C" w:rsidP="009B3CC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E350D" w:rsidRPr="00F15269" w:rsidRDefault="000809AA" w:rsidP="009B3CC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180,5</w:t>
            </w:r>
            <w:r w:rsidR="00937E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 несвоевременное предоставление актов выполненных работ, счетов-фактур</w:t>
            </w:r>
          </w:p>
        </w:tc>
      </w:tr>
      <w:tr w:rsidR="003E350D" w:rsidRPr="00F15269" w:rsidTr="00E7467C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114 «Обеспечение защиты прав и свобод лиц, участвующих в судебном процессе»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Default="00B950C4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="00BA70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350D" w:rsidRDefault="000809AA" w:rsidP="00B9162E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A70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,1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оплата по факту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50D" w:rsidRPr="00F15269" w:rsidTr="00E7467C">
        <w:trPr>
          <w:trHeight w:val="4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115 «Обеспечение жильём судей»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944F32" w:rsidRDefault="00BA706D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350D" w:rsidRPr="00F15269" w:rsidTr="00E7467C">
        <w:trPr>
          <w:trHeight w:val="4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4F67A7" w:rsidRDefault="004F67A7" w:rsidP="00BA3B9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8"/>
                <w:szCs w:val="28"/>
                <w:lang w:eastAsia="ru-RU"/>
              </w:rPr>
              <w:t>Подпрограмма 123 « Текущие административные расходы»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4F67A7" w:rsidRDefault="000809AA" w:rsidP="00BA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Default="000809AA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196,3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 несвоевременное предоставление актов выполненных работ, счетов-фактур;</w:t>
            </w:r>
          </w:p>
          <w:p w:rsidR="009B3CCA" w:rsidRDefault="000809AA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689,1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изменение графика отпусков;</w:t>
            </w:r>
          </w:p>
          <w:p w:rsidR="009B3CCA" w:rsidRDefault="000809AA" w:rsidP="009B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1,9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 </w:t>
            </w:r>
            <w:r w:rsidR="00937E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="009B3C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E66" w:rsidRPr="004F67A7" w:rsidRDefault="000809AA" w:rsidP="00385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15,1</w:t>
            </w:r>
            <w:r w:rsidR="00937E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млн. тенге изменение графика командировок.</w:t>
            </w:r>
          </w:p>
        </w:tc>
      </w:tr>
      <w:tr w:rsidR="003E350D" w:rsidRPr="00F15269" w:rsidTr="00E7467C">
        <w:trPr>
          <w:trHeight w:val="7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</w:pPr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Программа 017 «организация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350D" w:rsidRPr="000D7D98" w:rsidRDefault="000809AA" w:rsidP="000D7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00E8" w:rsidRDefault="007800E8" w:rsidP="0078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 млн.</w:t>
            </w:r>
            <w:r w:rsidR="00E74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тенге договора находятся на стадии согласования;</w:t>
            </w:r>
          </w:p>
          <w:p w:rsidR="007800E8" w:rsidRDefault="007800E8" w:rsidP="0078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 млн. тенге оплата по факту;</w:t>
            </w:r>
          </w:p>
          <w:p w:rsidR="007800E8" w:rsidRDefault="007800E8" w:rsidP="007800E8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 млн. тенге изменение графика отпусков;</w:t>
            </w:r>
          </w:p>
          <w:p w:rsidR="000D7D98" w:rsidRPr="007800E8" w:rsidRDefault="007800E8" w:rsidP="0078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 млн. тенге изменение графика командировок.</w:t>
            </w:r>
          </w:p>
        </w:tc>
      </w:tr>
      <w:tr w:rsidR="003E350D" w:rsidRPr="00F15269" w:rsidTr="00E7467C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F1241" w:rsidRDefault="003E350D" w:rsidP="00BA3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 xml:space="preserve">Программа 138  «Обеспечение повышения квалификации государственных </w:t>
            </w:r>
            <w:proofErr w:type="spellStart"/>
            <w:proofErr w:type="gramStart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слу</w:t>
            </w:r>
            <w:proofErr w:type="spellEnd"/>
            <w:r w:rsidR="005075A8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жащих</w:t>
            </w:r>
            <w:proofErr w:type="spellEnd"/>
            <w:proofErr w:type="gramEnd"/>
            <w:r w:rsidRPr="00FF1241">
              <w:rPr>
                <w:rFonts w:ascii="Arial Narrow" w:eastAsia="Times New Roman" w:hAnsi="Arial Narrow" w:cs="Times New Roman"/>
                <w:b/>
                <w:color w:val="40404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7800E8" w:rsidP="00BA7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F1241" w:rsidRDefault="007800E8" w:rsidP="00BA70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4,0</w:t>
            </w:r>
            <w:r w:rsidR="00BA70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тенге </w:t>
            </w:r>
            <w:r w:rsidR="000D7D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несвоевременно</w:t>
            </w:r>
            <w:r w:rsidR="000D7D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представление актов выполненных работ, счетов </w:t>
            </w:r>
            <w:proofErr w:type="gramStart"/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–ф</w:t>
            </w:r>
            <w:proofErr w:type="gramEnd"/>
            <w:r w:rsidR="003852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актур.</w:t>
            </w:r>
            <w:r w:rsidR="003E3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350D" w:rsidRPr="00F15269" w:rsidTr="00E7467C">
        <w:trPr>
          <w:trHeight w:val="6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F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FF124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е</w:t>
            </w:r>
            <w:proofErr w:type="spellEnd"/>
            <w:r w:rsidRPr="00F15269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B9162E" w:rsidP="0078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00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995,5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50D" w:rsidRPr="00F15269" w:rsidRDefault="003E350D" w:rsidP="00BA3B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2ED" w:rsidRDefault="00CC52ED" w:rsidP="00CC52ED">
      <w:pPr>
        <w:rPr>
          <w:color w:val="0070C0"/>
          <w:sz w:val="48"/>
          <w:szCs w:val="48"/>
          <w:u w:val="single"/>
        </w:rPr>
      </w:pPr>
    </w:p>
    <w:sectPr w:rsidR="00CC52ED" w:rsidSect="001534ED">
      <w:pgSz w:w="16838" w:h="11906" w:orient="landscape"/>
      <w:pgMar w:top="142" w:right="962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7"/>
    <w:rsid w:val="000330BC"/>
    <w:rsid w:val="0004777E"/>
    <w:rsid w:val="000809AA"/>
    <w:rsid w:val="00084A64"/>
    <w:rsid w:val="000B4915"/>
    <w:rsid w:val="000D7D98"/>
    <w:rsid w:val="00107690"/>
    <w:rsid w:val="00113C96"/>
    <w:rsid w:val="00137DDE"/>
    <w:rsid w:val="00143EB0"/>
    <w:rsid w:val="001534ED"/>
    <w:rsid w:val="00171B51"/>
    <w:rsid w:val="001B357D"/>
    <w:rsid w:val="001F4C17"/>
    <w:rsid w:val="001F6571"/>
    <w:rsid w:val="00223AA6"/>
    <w:rsid w:val="00251FDA"/>
    <w:rsid w:val="00271097"/>
    <w:rsid w:val="002A4A07"/>
    <w:rsid w:val="00330B73"/>
    <w:rsid w:val="003555FB"/>
    <w:rsid w:val="00373B8E"/>
    <w:rsid w:val="0038525D"/>
    <w:rsid w:val="00385D45"/>
    <w:rsid w:val="003C06F5"/>
    <w:rsid w:val="003C3200"/>
    <w:rsid w:val="003C4E05"/>
    <w:rsid w:val="003E350D"/>
    <w:rsid w:val="003E78B7"/>
    <w:rsid w:val="003F7E18"/>
    <w:rsid w:val="004060BB"/>
    <w:rsid w:val="00413691"/>
    <w:rsid w:val="004528E7"/>
    <w:rsid w:val="004934DB"/>
    <w:rsid w:val="004A1685"/>
    <w:rsid w:val="004E693A"/>
    <w:rsid w:val="004F67A7"/>
    <w:rsid w:val="005075A8"/>
    <w:rsid w:val="005355A7"/>
    <w:rsid w:val="00540894"/>
    <w:rsid w:val="00564E39"/>
    <w:rsid w:val="00564E8B"/>
    <w:rsid w:val="005A6484"/>
    <w:rsid w:val="00611DC5"/>
    <w:rsid w:val="0068600D"/>
    <w:rsid w:val="006A58D1"/>
    <w:rsid w:val="006B225F"/>
    <w:rsid w:val="007016A7"/>
    <w:rsid w:val="00725721"/>
    <w:rsid w:val="00744FB4"/>
    <w:rsid w:val="00746B12"/>
    <w:rsid w:val="007800E8"/>
    <w:rsid w:val="007B529A"/>
    <w:rsid w:val="00803D4D"/>
    <w:rsid w:val="008622DC"/>
    <w:rsid w:val="00863D48"/>
    <w:rsid w:val="00875027"/>
    <w:rsid w:val="00877392"/>
    <w:rsid w:val="008D1270"/>
    <w:rsid w:val="008E2357"/>
    <w:rsid w:val="00921F57"/>
    <w:rsid w:val="00937E66"/>
    <w:rsid w:val="00944F32"/>
    <w:rsid w:val="00953C7D"/>
    <w:rsid w:val="00954870"/>
    <w:rsid w:val="009B3CCA"/>
    <w:rsid w:val="00A01557"/>
    <w:rsid w:val="00A15B40"/>
    <w:rsid w:val="00A26C84"/>
    <w:rsid w:val="00A34241"/>
    <w:rsid w:val="00A96557"/>
    <w:rsid w:val="00AA1316"/>
    <w:rsid w:val="00B62C42"/>
    <w:rsid w:val="00B9162E"/>
    <w:rsid w:val="00B92F1A"/>
    <w:rsid w:val="00B950C4"/>
    <w:rsid w:val="00B95350"/>
    <w:rsid w:val="00BA706D"/>
    <w:rsid w:val="00BB324B"/>
    <w:rsid w:val="00BC62D2"/>
    <w:rsid w:val="00BF2C9F"/>
    <w:rsid w:val="00C15182"/>
    <w:rsid w:val="00C34266"/>
    <w:rsid w:val="00C567CE"/>
    <w:rsid w:val="00C94386"/>
    <w:rsid w:val="00CC4CE8"/>
    <w:rsid w:val="00CC52ED"/>
    <w:rsid w:val="00D1079D"/>
    <w:rsid w:val="00D73270"/>
    <w:rsid w:val="00D778D7"/>
    <w:rsid w:val="00DB7207"/>
    <w:rsid w:val="00DC7F7D"/>
    <w:rsid w:val="00E139D8"/>
    <w:rsid w:val="00E26DE0"/>
    <w:rsid w:val="00E33A5B"/>
    <w:rsid w:val="00E520AE"/>
    <w:rsid w:val="00E7467C"/>
    <w:rsid w:val="00EC0763"/>
    <w:rsid w:val="00EF6223"/>
    <w:rsid w:val="00F15269"/>
    <w:rsid w:val="00F2187C"/>
    <w:rsid w:val="00F24980"/>
    <w:rsid w:val="00F5413D"/>
    <w:rsid w:val="00F64889"/>
    <w:rsid w:val="00FD18A5"/>
    <w:rsid w:val="00FD569E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64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64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30"/>
      <c:rAngAx val="1"/>
    </c:view3D>
    <c:floor>
      <c:thickness val="0"/>
    </c:floor>
    <c:sideWall>
      <c:thickness val="0"/>
      <c:spPr>
        <a:ln>
          <a:solidFill>
            <a:schemeClr val="accent1"/>
          </a:solidFill>
        </a:ln>
        <a:effectLst>
          <a:outerShdw blurRad="63500" dist="50800" dir="6000000" algn="ctr" rotWithShape="0">
            <a:srgbClr val="000000">
              <a:alpha val="98000"/>
            </a:srgbClr>
          </a:outerShdw>
        </a:effectLst>
        <a:scene3d>
          <a:camera prst="orthographicFront"/>
          <a:lightRig rig="threePt" dir="t"/>
        </a:scene3d>
        <a:sp3d prstMaterial="metal"/>
      </c:spPr>
    </c:sideWall>
    <c:backWall>
      <c:thickness val="0"/>
      <c:spPr>
        <a:ln>
          <a:solidFill>
            <a:schemeClr val="accent1"/>
          </a:solidFill>
        </a:ln>
        <a:effectLst>
          <a:outerShdw blurRad="63500" dist="50800" dir="6000000" algn="ctr" rotWithShape="0">
            <a:srgbClr val="000000">
              <a:alpha val="98000"/>
            </a:srgbClr>
          </a:outerShdw>
        </a:effectLst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5.8052737990633237E-4"/>
          <c:y val="2.6458741262510763E-3"/>
          <c:w val="0.7301322105823489"/>
          <c:h val="0.462583861912100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42 175,4 млн.тенге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1F497D"/>
              </a:solidFill>
              <a:scene3d>
                <a:camera prst="orthographicFront"/>
                <a:lightRig rig="threePt" dir="t"/>
              </a:scene3d>
              <a:sp3d>
                <a:bevelT w="0"/>
              </a:sp3d>
            </c:spPr>
          </c:dPt>
          <c:cat>
            <c:strRef>
              <c:f>Лист1!$A$3:$A$5</c:f>
              <c:strCache>
                <c:ptCount val="3"/>
                <c:pt idx="0">
                  <c:v>План финансирования за 9 месяцев 2021 г</c:v>
                </c:pt>
                <c:pt idx="1">
                  <c:v>Освоено за 9 месяцев 2021 года</c:v>
                </c:pt>
                <c:pt idx="2">
                  <c:v>неосвоенно на 1 октября  2021года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 formatCode="#,##0.00">
                  <c:v>42175.4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40 179,9 млн.тенге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План финансирования за 9 месяцев 2021 г</c:v>
                </c:pt>
                <c:pt idx="1">
                  <c:v>Освоено за 9 месяцев 2021 года</c:v>
                </c:pt>
                <c:pt idx="2">
                  <c:v>неосвоенно на 1 октября  2021года</c:v>
                </c:pt>
              </c:strCache>
            </c:strRef>
          </c:cat>
          <c:val>
            <c:numRef>
              <c:f>Лист1!$C$3:$C$5</c:f>
              <c:numCache>
                <c:formatCode>0.00</c:formatCode>
                <c:ptCount val="3"/>
                <c:pt idx="1">
                  <c:v>40179.9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1 995,5млн.тенге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План финансирования за 9 месяцев 2021 г</c:v>
                </c:pt>
                <c:pt idx="1">
                  <c:v>Освоено за 9 месяцев 2021 года</c:v>
                </c:pt>
                <c:pt idx="2">
                  <c:v>неосвоенно на 1 октября  2021года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2" formatCode="0.00">
                  <c:v>1995.5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164"/>
        <c:shape val="cylinder"/>
        <c:axId val="145293312"/>
        <c:axId val="81450624"/>
        <c:axId val="0"/>
      </c:bar3DChart>
      <c:dateAx>
        <c:axId val="145293312"/>
        <c:scaling>
          <c:orientation val="minMax"/>
        </c:scaling>
        <c:delete val="0"/>
        <c:axPos val="b"/>
        <c:numFmt formatCode="#,##0.0" sourceLinked="1"/>
        <c:majorTickMark val="in"/>
        <c:minorTickMark val="in"/>
        <c:tickLblPos val="low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81450624"/>
        <c:crosses val="autoZero"/>
        <c:auto val="0"/>
        <c:lblOffset val="100"/>
        <c:baseTimeUnit val="days"/>
        <c:minorUnit val="1"/>
      </c:dateAx>
      <c:valAx>
        <c:axId val="81450624"/>
        <c:scaling>
          <c:orientation val="minMax"/>
          <c:max val="40000"/>
        </c:scaling>
        <c:delete val="1"/>
        <c:axPos val="l"/>
        <c:majorGridlines/>
        <c:numFmt formatCode="#,##0.0" sourceLinked="0"/>
        <c:majorTickMark val="out"/>
        <c:minorTickMark val="out"/>
        <c:tickLblPos val="low"/>
        <c:crossAx val="145293312"/>
        <c:crosses val="autoZero"/>
        <c:crossBetween val="between"/>
        <c:majorUnit val="5000"/>
        <c:minorUnit val="5000"/>
        <c:dispUnits>
          <c:builtInUnit val="millions"/>
          <c:dispUnitsLbl>
            <c:layout>
              <c:manualLayout>
                <c:xMode val="edge"/>
                <c:yMode val="edge"/>
                <c:x val="9.4752673404566001E-2"/>
                <c:y val="5.0466093810141652E-2"/>
              </c:manualLayout>
            </c:layout>
          </c:dispUnitsLbl>
        </c:dispUnits>
      </c:valAx>
    </c:plotArea>
    <c:legend>
      <c:legendPos val="r"/>
      <c:layout>
        <c:manualLayout>
          <c:xMode val="edge"/>
          <c:yMode val="edge"/>
          <c:x val="0.7118309486950315"/>
          <c:y val="0.12678464625986938"/>
          <c:w val="0.22175515653977226"/>
          <c:h val="0.4345417495157889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АКИШЕВА АЙГУЛЬ МАНАПОВНА</cp:lastModifiedBy>
  <cp:revision>41</cp:revision>
  <cp:lastPrinted>2020-08-12T06:56:00Z</cp:lastPrinted>
  <dcterms:created xsi:type="dcterms:W3CDTF">2018-01-18T04:22:00Z</dcterms:created>
  <dcterms:modified xsi:type="dcterms:W3CDTF">2021-11-10T10:21:00Z</dcterms:modified>
</cp:coreProperties>
</file>