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7C" w:rsidRDefault="00F2187C"/>
    <w:p w:rsidR="00F2187C" w:rsidRDefault="00F2187C"/>
    <w:p w:rsidR="00F2187C" w:rsidRDefault="00F2187C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4560"/>
        <w:gridCol w:w="3260"/>
        <w:gridCol w:w="2820"/>
        <w:gridCol w:w="3880"/>
      </w:tblGrid>
      <w:tr w:rsidR="00F2187C" w:rsidRPr="00330B73" w:rsidTr="0064602F">
        <w:trPr>
          <w:trHeight w:val="405"/>
        </w:trPr>
        <w:tc>
          <w:tcPr>
            <w:tcW w:w="1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F6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Бюджет Верховного Суда Республики Казахстан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5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первый квартал</w:t>
            </w: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</w:t>
            </w:r>
            <w:r w:rsidR="004E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F6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</w:tr>
      <w:tr w:rsidR="00F2187C" w:rsidRPr="00330B73" w:rsidTr="0064602F">
        <w:trPr>
          <w:trHeight w:val="40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187C" w:rsidRPr="00330B73" w:rsidTr="0064602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тенге</w:t>
            </w:r>
          </w:p>
        </w:tc>
      </w:tr>
      <w:tr w:rsidR="00F2187C" w:rsidRPr="00330B73" w:rsidTr="0064602F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7C" w:rsidRPr="00330B73" w:rsidRDefault="00F2187C" w:rsidP="004E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="004E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первый квартал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7C" w:rsidRPr="00330B73" w:rsidRDefault="005A6484" w:rsidP="004E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Освоено за перв</w:t>
            </w:r>
            <w:r w:rsidR="004E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7C" w:rsidRPr="00330B73" w:rsidRDefault="005A6484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Неосвоено</w:t>
            </w:r>
            <w:proofErr w:type="spellEnd"/>
          </w:p>
        </w:tc>
      </w:tr>
      <w:tr w:rsidR="00F2187C" w:rsidRPr="001F6571" w:rsidTr="0064602F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9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р</w:t>
            </w:r>
            <w:proofErr w:type="spellStart"/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ховного</w:t>
            </w:r>
            <w:proofErr w:type="spellEnd"/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Суда РК,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87C" w:rsidRPr="00330B73" w:rsidRDefault="00954870" w:rsidP="00F6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13 </w:t>
            </w:r>
            <w:r w:rsidR="00F6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</w:t>
            </w:r>
            <w:r w:rsidR="00F6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87C" w:rsidRPr="00330B73" w:rsidRDefault="00954870" w:rsidP="00F6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F6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578,8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87C" w:rsidRPr="001F6571" w:rsidRDefault="00F64239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1 012,8</w:t>
            </w:r>
          </w:p>
        </w:tc>
      </w:tr>
      <w:tr w:rsidR="00F2187C" w:rsidRPr="00330B73" w:rsidTr="0064602F">
        <w:trPr>
          <w:trHeight w:val="1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001</w:t>
            </w: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"Обеспечение судебными органами судебной защиты прав и законных интересов граждан и организаций"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954870" w:rsidP="00F6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F6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452,5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64239" w:rsidP="005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12 455,7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64239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</w:t>
            </w:r>
            <w:r w:rsidR="00954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,8</w:t>
            </w:r>
          </w:p>
        </w:tc>
      </w:tr>
      <w:tr w:rsidR="00F2187C" w:rsidRPr="00330B73" w:rsidTr="0064602F">
        <w:trPr>
          <w:trHeight w:val="15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017</w:t>
            </w: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послевузовского образования, переподготовка и повышение квалификации судейских кадров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954870" w:rsidP="00F6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64239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64239" w:rsidP="00F6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</w:tr>
      <w:tr w:rsidR="00F2187C" w:rsidRPr="00330B73" w:rsidTr="0064602F">
        <w:trPr>
          <w:trHeight w:val="72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</w:t>
            </w: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распределительным программам в </w:t>
            </w:r>
            <w:proofErr w:type="spellStart"/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2187C" w:rsidRPr="00330B73" w:rsidRDefault="00954870" w:rsidP="005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2187C" w:rsidRPr="00330B73" w:rsidRDefault="00F64239" w:rsidP="00F6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187C" w:rsidRPr="00330B73" w:rsidRDefault="00F64239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</w:tr>
      <w:tr w:rsidR="00F2187C" w:rsidRPr="00330B73" w:rsidTr="005A6484">
        <w:trPr>
          <w:trHeight w:val="12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proofErr w:type="spellStart"/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Агенства</w:t>
            </w:r>
            <w:proofErr w:type="spellEnd"/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Казахстан по делам госслужбы 138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подготовке, переподготовке и повышению квалификации госслужащих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954870" w:rsidP="0095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64239" w:rsidP="00F6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64239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</w:tbl>
    <w:p w:rsidR="00F2187C" w:rsidRDefault="00F2187C"/>
    <w:p w:rsidR="00F2187C" w:rsidRDefault="00F2187C"/>
    <w:p w:rsidR="00F2187C" w:rsidRDefault="00F2187C"/>
    <w:p w:rsidR="00F2187C" w:rsidRDefault="00F2187C"/>
    <w:p w:rsidR="001534ED" w:rsidRDefault="001534ED"/>
    <w:p w:rsidR="00B62C42" w:rsidRDefault="00B62C42"/>
    <w:p w:rsidR="00B62C42" w:rsidRDefault="00B62C42" w:rsidP="00CC4CE8">
      <w:pPr>
        <w:jc w:val="center"/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</w:pPr>
    </w:p>
    <w:p w:rsidR="00F5413D" w:rsidRPr="00CC52ED" w:rsidRDefault="003E350D" w:rsidP="00CC4CE8">
      <w:pPr>
        <w:jc w:val="center"/>
        <w:rPr>
          <w:b/>
          <w:sz w:val="44"/>
          <w:szCs w:val="44"/>
          <w:lang w:val="kk-KZ"/>
        </w:rPr>
      </w:pPr>
      <w:r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ОСВОЕНИЕ</w:t>
      </w:r>
      <w:r w:rsidR="00CC52ED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 БЮДЖЕТНЫ</w:t>
      </w:r>
      <w:r w:rsidR="007B529A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Х </w:t>
      </w:r>
      <w:r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СРЕДСТВ</w:t>
      </w:r>
      <w:r w:rsidR="007B529A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 </w:t>
      </w:r>
      <w:r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ВЕРХОВНОГО СУДА РК </w:t>
      </w:r>
      <w:r w:rsidR="001534ED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на 1 </w:t>
      </w:r>
      <w:r w:rsidR="004E693A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апреля</w:t>
      </w:r>
      <w:r w:rsidR="00744FB4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 20</w:t>
      </w:r>
      <w:r w:rsidR="004E693A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2</w:t>
      </w:r>
      <w:r w:rsidR="00F64239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1</w:t>
      </w:r>
      <w:r w:rsidR="001534ED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года</w:t>
      </w:r>
      <w:r w:rsidR="00CC52ED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 </w:t>
      </w:r>
    </w:p>
    <w:p w:rsidR="00F5413D" w:rsidRPr="00CC52ED" w:rsidRDefault="00F5413D">
      <w:pPr>
        <w:rPr>
          <w:lang w:val="kk-KZ"/>
        </w:rPr>
      </w:pPr>
    </w:p>
    <w:p w:rsidR="00385D45" w:rsidRDefault="00B95350" w:rsidP="001F6571">
      <w:pPr>
        <w:ind w:left="426"/>
      </w:pPr>
      <w:r>
        <w:rPr>
          <w:noProof/>
          <w:lang w:eastAsia="ru-RU"/>
        </w:rPr>
        <w:drawing>
          <wp:inline distT="0" distB="0" distL="0" distR="0" wp14:anchorId="578E54F6" wp14:editId="0A5E366A">
            <wp:extent cx="8665535" cy="4657060"/>
            <wp:effectExtent l="0" t="19050" r="2159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350D" w:rsidRDefault="003E350D"/>
    <w:p w:rsidR="003E350D" w:rsidRDefault="003E350D"/>
    <w:p w:rsidR="003E350D" w:rsidRDefault="003E350D"/>
    <w:p w:rsidR="00385D45" w:rsidRDefault="00A3424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44B40" wp14:editId="6BE7ACF1">
                <wp:simplePos x="0" y="0"/>
                <wp:positionH relativeFrom="column">
                  <wp:posOffset>10541635</wp:posOffset>
                </wp:positionH>
                <wp:positionV relativeFrom="paragraph">
                  <wp:posOffset>218440</wp:posOffset>
                </wp:positionV>
                <wp:extent cx="1053494" cy="369332"/>
                <wp:effectExtent l="0" t="0" r="0" b="0"/>
                <wp:wrapNone/>
                <wp:docPr id="172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9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4241" w:rsidRDefault="00A34241" w:rsidP="00A3424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eastAsia="+mn-ea" w:hAnsi="Arial Narrow" w:cs="Arial"/>
                                <w:color w:val="404040"/>
                                <w:kern w:val="24"/>
                                <w:u w:val="single"/>
                              </w:rPr>
                              <w:t>млн</w:t>
                            </w:r>
                            <w:proofErr w:type="gramStart"/>
                            <w:r>
                              <w:rPr>
                                <w:rFonts w:ascii="Arial Narrow" w:eastAsia="+mn-ea" w:hAnsi="Arial Narrow" w:cs="Arial"/>
                                <w:color w:val="404040"/>
                                <w:kern w:val="24"/>
                                <w:u w:val="single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Arial Narrow" w:eastAsia="+mn-ea" w:hAnsi="Arial Narrow" w:cs="Arial"/>
                                <w:color w:val="404040"/>
                                <w:kern w:val="24"/>
                                <w:u w:val="single"/>
                              </w:rPr>
                              <w:t>енге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1" o:spid="_x0000_s1026" style="position:absolute;margin-left:830.05pt;margin-top:17.2pt;width:82.95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" filled="f" stroked="f">
                <v:textbox style="mso-fit-shape-to-text:t">
                  <w:txbxContent>
                    <w:p w:rsidR="00A34241" w:rsidRDefault="00A34241" w:rsidP="00A3424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eastAsia="+mn-ea" w:hAnsi="Arial Narrow" w:cs="Arial"/>
                          <w:color w:val="404040"/>
                          <w:kern w:val="24"/>
                          <w:u w:val="single"/>
                        </w:rPr>
                        <w:t>млн</w:t>
                      </w:r>
                      <w:proofErr w:type="gramStart"/>
                      <w:r>
                        <w:rPr>
                          <w:rFonts w:ascii="Arial Narrow" w:eastAsia="+mn-ea" w:hAnsi="Arial Narrow" w:cs="Arial"/>
                          <w:color w:val="404040"/>
                          <w:kern w:val="24"/>
                          <w:u w:val="single"/>
                        </w:rPr>
                        <w:t>.т</w:t>
                      </w:r>
                      <w:proofErr w:type="gramEnd"/>
                      <w:r>
                        <w:rPr>
                          <w:rFonts w:ascii="Arial Narrow" w:eastAsia="+mn-ea" w:hAnsi="Arial Narrow" w:cs="Arial"/>
                          <w:color w:val="404040"/>
                          <w:kern w:val="24"/>
                          <w:u w:val="single"/>
                        </w:rPr>
                        <w:t>енге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85D45" w:rsidRDefault="003C06F5" w:rsidP="003C06F5">
      <w:pPr>
        <w:jc w:val="center"/>
      </w:pPr>
      <w:r>
        <w:rPr>
          <w:color w:val="0070C0"/>
          <w:sz w:val="48"/>
          <w:szCs w:val="48"/>
          <w:u w:val="single"/>
        </w:rPr>
        <w:t>ОСНОВНЫЕ ПРИЧИНЫ НЕИСПОЛНЕНИЯ</w:t>
      </w:r>
    </w:p>
    <w:tbl>
      <w:tblPr>
        <w:tblW w:w="1489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6"/>
        <w:gridCol w:w="1134"/>
        <w:gridCol w:w="6378"/>
      </w:tblGrid>
      <w:tr w:rsidR="003E350D" w:rsidRPr="00F15269" w:rsidTr="009B3CCA">
        <w:trPr>
          <w:trHeight w:val="122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5269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  <w:t>дпрограмм</w:t>
            </w:r>
            <w:proofErr w:type="spellEnd"/>
            <w:r w:rsidRPr="00F15269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350D" w:rsidRPr="00AA1316" w:rsidRDefault="006B225F" w:rsidP="004F67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val="kk-KZ"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                 </w:t>
            </w:r>
            <w:r w:rsidR="004F67A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kk-KZ" w:eastAsia="ru-RU"/>
              </w:rPr>
              <w:t>млн</w:t>
            </w:r>
            <w:r w:rsidR="003E350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kk-KZ" w:eastAsia="ru-RU"/>
              </w:rPr>
              <w:t>.тенге</w:t>
            </w:r>
          </w:p>
        </w:tc>
      </w:tr>
      <w:tr w:rsidR="003E350D" w:rsidRPr="00F15269" w:rsidTr="009B3CCA">
        <w:trPr>
          <w:trHeight w:val="8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  <w:t>Наименование программ (подпрограмм)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F1241" w:rsidRDefault="004F67A7" w:rsidP="00BA3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="003E35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="003E35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350D" w:rsidRPr="003E350D" w:rsidRDefault="003E350D" w:rsidP="006B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неисполнения</w:t>
            </w:r>
          </w:p>
        </w:tc>
      </w:tr>
      <w:tr w:rsidR="003E350D" w:rsidRPr="00F15269" w:rsidTr="009B3CCA">
        <w:trPr>
          <w:trHeight w:val="9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Программа 001 «Обеспечение судебными органами судебной защиты прав, свобод и законных интересов граждан и организации»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F1241" w:rsidRDefault="00F64239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996,8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52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350D" w:rsidRPr="00F15269" w:rsidTr="009B3CCA">
        <w:trPr>
          <w:trHeight w:val="193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100 «Обеспечение высшим судебным органом судебной защиты прав, свобод и законных интересов граждан 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Pr="00F15269" w:rsidRDefault="00F64239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26F6" w:rsidRDefault="007B26F6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64,4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несвоевременное предоставление актов выполненных работ, счетов-фактур.</w:t>
            </w:r>
          </w:p>
          <w:p w:rsidR="004060BB" w:rsidRDefault="00F64239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20,6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тенге договора находятся на стадии заключения;</w:t>
            </w:r>
          </w:p>
          <w:p w:rsidR="007B26F6" w:rsidRDefault="007B26F6" w:rsidP="007B26F6">
            <w:pPr>
              <w:spacing w:after="0" w:line="240" w:lineRule="auto"/>
              <w:ind w:left="-250" w:firstLine="2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1,1 млн. тенге изменение графика отпусков;</w:t>
            </w:r>
          </w:p>
          <w:p w:rsidR="003E350D" w:rsidRPr="00F15269" w:rsidRDefault="007B26F6" w:rsidP="007B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1,7 млн. тенге изменение графика командировок</w:t>
            </w:r>
          </w:p>
        </w:tc>
      </w:tr>
      <w:tr w:rsidR="003E350D" w:rsidRPr="00F15269" w:rsidTr="009B3CCA">
        <w:trPr>
          <w:trHeight w:val="8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104 «Обеспечение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0D7D98" w:rsidRDefault="007B26F6" w:rsidP="000D7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Default="007B26F6" w:rsidP="00406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23,4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 тенге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несвоевременное предоставление актов выполненных работ, счетов-фактур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1557" w:rsidRDefault="007B26F6" w:rsidP="00A01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11,0</w:t>
            </w:r>
            <w:r w:rsidR="00A0155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договора находятся на стадии заключения;</w:t>
            </w:r>
          </w:p>
          <w:p w:rsidR="00A01557" w:rsidRPr="00F15269" w:rsidRDefault="00A01557" w:rsidP="00406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350D" w:rsidRPr="00F15269" w:rsidTr="009B3CCA">
        <w:trPr>
          <w:trHeight w:val="93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105 «Обеспечение отправления правосудия местными органами судебной власти»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B348DC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1557" w:rsidRDefault="00B348DC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="00A0155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договора находятся на стадии заключения;</w:t>
            </w:r>
          </w:p>
          <w:p w:rsidR="003E350D" w:rsidRDefault="00B348DC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40,2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 тенге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несвоевременное предоставление актов выполненных работ, счетов-фактур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E350D" w:rsidRDefault="00B348DC" w:rsidP="00406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24,9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тенге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оплата по факту;</w:t>
            </w:r>
          </w:p>
          <w:p w:rsidR="004060BB" w:rsidRDefault="00B348DC" w:rsidP="004060BB">
            <w:pPr>
              <w:spacing w:after="0" w:line="240" w:lineRule="auto"/>
              <w:ind w:left="-250" w:firstLine="2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18,0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тенге изменение графика отпусков;</w:t>
            </w:r>
          </w:p>
          <w:p w:rsidR="004060BB" w:rsidRPr="00F15269" w:rsidRDefault="004060BB" w:rsidP="00B348DC">
            <w:pPr>
              <w:spacing w:after="0" w:line="240" w:lineRule="auto"/>
              <w:ind w:left="33" w:hanging="33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48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изменение графика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командировок.</w:t>
            </w:r>
          </w:p>
        </w:tc>
      </w:tr>
      <w:tr w:rsidR="003E350D" w:rsidRPr="00F15269" w:rsidTr="009B3CCA">
        <w:trPr>
          <w:trHeight w:val="7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111 «Капитальные расходы органов судебной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B348DC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Default="00A01557" w:rsidP="00B34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48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4,7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тенге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договора находятся на стадии заключения;</w:t>
            </w:r>
          </w:p>
          <w:p w:rsidR="00B348DC" w:rsidRPr="00F15269" w:rsidRDefault="00B348DC" w:rsidP="00B34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8,5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несвоевременное предоставление актов выполненных работ, счетов-фактур</w:t>
            </w:r>
          </w:p>
        </w:tc>
      </w:tr>
      <w:tr w:rsidR="003E350D" w:rsidRPr="00F15269" w:rsidTr="009B3CCA">
        <w:trPr>
          <w:trHeight w:val="8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lastRenderedPageBreak/>
              <w:t>Подпрограммы 112 « Строительство объектов органов судебной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B348DC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205,4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Default="00B348DC" w:rsidP="009B3CC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161,7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несвоевременное предоставление актов выполненных работ, счетов-фактур;</w:t>
            </w:r>
          </w:p>
          <w:p w:rsidR="00B348DC" w:rsidRPr="00F15269" w:rsidRDefault="00B348DC" w:rsidP="00B348D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43,7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удержание 5% по условиям договора</w:t>
            </w:r>
          </w:p>
        </w:tc>
      </w:tr>
      <w:tr w:rsidR="003E350D" w:rsidRPr="00F15269" w:rsidTr="009B3CCA">
        <w:trPr>
          <w:trHeight w:val="5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114 «Обеспечение защиты прав и свобод лиц, участвующих в судебном процессе»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Default="00B348DC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350D" w:rsidRDefault="00B348DC" w:rsidP="009B3CCA">
            <w:pPr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7,6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тенге 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оплата по факту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E350D" w:rsidRPr="00F15269" w:rsidTr="009B3CCA">
        <w:trPr>
          <w:trHeight w:val="45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50D" w:rsidRPr="00FF1241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115 «Обеспечение жильём судей»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Pr="00944F32" w:rsidRDefault="003E350D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50D" w:rsidRPr="00F15269" w:rsidRDefault="003E350D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350D" w:rsidRPr="00F15269" w:rsidTr="009B3CCA">
        <w:trPr>
          <w:trHeight w:val="4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50D" w:rsidRPr="004F67A7" w:rsidRDefault="004F67A7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123 « Текущие административные расходы»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Pr="004F67A7" w:rsidRDefault="00B348DC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553,8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Default="00B348DC" w:rsidP="009B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183,6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 несвоевременное предоставление актов выполненных работ, счетов-фактур;</w:t>
            </w:r>
          </w:p>
          <w:p w:rsidR="009B3CCA" w:rsidRDefault="00B348DC" w:rsidP="009B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314,7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изменение графика отпусков;</w:t>
            </w:r>
          </w:p>
          <w:p w:rsidR="009B3CCA" w:rsidRDefault="00B348DC" w:rsidP="009B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6,2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 изменение графика командировок;</w:t>
            </w:r>
          </w:p>
          <w:p w:rsidR="009B3CCA" w:rsidRDefault="00B348DC" w:rsidP="00385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48,2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договора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находятся на стадии заключения;</w:t>
            </w:r>
          </w:p>
          <w:p w:rsidR="00B348DC" w:rsidRPr="004F67A7" w:rsidRDefault="00B348DC" w:rsidP="00385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1,1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по факту</w:t>
            </w:r>
          </w:p>
        </w:tc>
      </w:tr>
      <w:tr w:rsidR="003E350D" w:rsidRPr="00F15269" w:rsidTr="009B3CCA">
        <w:trPr>
          <w:trHeight w:val="7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50D" w:rsidRPr="00FF1241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</w:pPr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>Программа 017 «организация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Pr="000D7D98" w:rsidRDefault="00B348DC" w:rsidP="000D7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Default="00746043" w:rsidP="00385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8,7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тенге </w:t>
            </w:r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изменение графика отпусков;</w:t>
            </w:r>
          </w:p>
          <w:p w:rsidR="0038525D" w:rsidRDefault="00746043" w:rsidP="00A01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1,3</w:t>
            </w:r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оплата по факту</w:t>
            </w:r>
          </w:p>
          <w:p w:rsidR="000D7D98" w:rsidRPr="000D7D98" w:rsidRDefault="000D7D98" w:rsidP="00A01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E350D" w:rsidRPr="00F15269" w:rsidTr="009B3CCA">
        <w:trPr>
          <w:trHeight w:val="8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F1241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 xml:space="preserve">Программа 138  «Обеспечение повышения квалификации государственных </w:t>
            </w:r>
            <w:proofErr w:type="spellStart"/>
            <w:proofErr w:type="gramStart"/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>слу</w:t>
            </w:r>
            <w:proofErr w:type="spellEnd"/>
            <w:r w:rsidR="005075A8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>жащих</w:t>
            </w:r>
            <w:proofErr w:type="spellEnd"/>
            <w:proofErr w:type="gramEnd"/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F1241" w:rsidRDefault="00B348DC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F1241" w:rsidRDefault="004A6374" w:rsidP="000D7D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5,9</w:t>
            </w:r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тенге </w:t>
            </w:r>
            <w:r w:rsidR="000D7D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несвоевременно</w:t>
            </w:r>
            <w:r w:rsidR="000D7D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е</w:t>
            </w:r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представление актов выполненных работ, счетов </w:t>
            </w:r>
            <w:proofErr w:type="gramStart"/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–ф</w:t>
            </w:r>
            <w:proofErr w:type="gramEnd"/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актур.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E350D" w:rsidRPr="00F15269" w:rsidTr="009B3CCA">
        <w:trPr>
          <w:trHeight w:val="68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F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FF124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е</w:t>
            </w:r>
            <w:proofErr w:type="spellEnd"/>
            <w:r w:rsidRPr="00F15269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4A6374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1 012,8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C52ED" w:rsidRDefault="00CC52ED" w:rsidP="00CC52ED">
      <w:pPr>
        <w:rPr>
          <w:color w:val="0070C0"/>
          <w:sz w:val="48"/>
          <w:szCs w:val="48"/>
          <w:u w:val="single"/>
        </w:rPr>
      </w:pPr>
    </w:p>
    <w:sectPr w:rsidR="00CC52ED" w:rsidSect="001534ED">
      <w:pgSz w:w="16838" w:h="11906" w:orient="landscape"/>
      <w:pgMar w:top="142" w:right="962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7"/>
    <w:rsid w:val="00084A64"/>
    <w:rsid w:val="000B4915"/>
    <w:rsid w:val="000D7D98"/>
    <w:rsid w:val="00107690"/>
    <w:rsid w:val="00113C96"/>
    <w:rsid w:val="00137DDE"/>
    <w:rsid w:val="00143EB0"/>
    <w:rsid w:val="001534ED"/>
    <w:rsid w:val="00171B51"/>
    <w:rsid w:val="001B357D"/>
    <w:rsid w:val="001F4C17"/>
    <w:rsid w:val="001F6571"/>
    <w:rsid w:val="00223AA6"/>
    <w:rsid w:val="00251FDA"/>
    <w:rsid w:val="002A4A07"/>
    <w:rsid w:val="00330B73"/>
    <w:rsid w:val="003555FB"/>
    <w:rsid w:val="00373B8E"/>
    <w:rsid w:val="0038525D"/>
    <w:rsid w:val="00385D45"/>
    <w:rsid w:val="003C06F5"/>
    <w:rsid w:val="003C4E05"/>
    <w:rsid w:val="003E350D"/>
    <w:rsid w:val="003E78B7"/>
    <w:rsid w:val="004060BB"/>
    <w:rsid w:val="00413691"/>
    <w:rsid w:val="004528E7"/>
    <w:rsid w:val="004934DB"/>
    <w:rsid w:val="004A6374"/>
    <w:rsid w:val="004E693A"/>
    <w:rsid w:val="004F67A7"/>
    <w:rsid w:val="005075A8"/>
    <w:rsid w:val="005355A7"/>
    <w:rsid w:val="00540894"/>
    <w:rsid w:val="00564E39"/>
    <w:rsid w:val="00564E8B"/>
    <w:rsid w:val="005A6484"/>
    <w:rsid w:val="006A58D1"/>
    <w:rsid w:val="006B225F"/>
    <w:rsid w:val="007016A7"/>
    <w:rsid w:val="00725721"/>
    <w:rsid w:val="00744FB4"/>
    <w:rsid w:val="00746043"/>
    <w:rsid w:val="007B26F6"/>
    <w:rsid w:val="007B529A"/>
    <w:rsid w:val="00803D4D"/>
    <w:rsid w:val="008622DC"/>
    <w:rsid w:val="00863D48"/>
    <w:rsid w:val="00875027"/>
    <w:rsid w:val="00877392"/>
    <w:rsid w:val="008D1270"/>
    <w:rsid w:val="008E2357"/>
    <w:rsid w:val="00921F57"/>
    <w:rsid w:val="00944F32"/>
    <w:rsid w:val="00953C7D"/>
    <w:rsid w:val="00954870"/>
    <w:rsid w:val="009B3CCA"/>
    <w:rsid w:val="00A01557"/>
    <w:rsid w:val="00A15B40"/>
    <w:rsid w:val="00A26C84"/>
    <w:rsid w:val="00A34241"/>
    <w:rsid w:val="00AA1316"/>
    <w:rsid w:val="00B348DC"/>
    <w:rsid w:val="00B62C42"/>
    <w:rsid w:val="00B95350"/>
    <w:rsid w:val="00BB324B"/>
    <w:rsid w:val="00BC62D2"/>
    <w:rsid w:val="00BF2C9F"/>
    <w:rsid w:val="00C15182"/>
    <w:rsid w:val="00C34266"/>
    <w:rsid w:val="00C567CE"/>
    <w:rsid w:val="00C94386"/>
    <w:rsid w:val="00CC4CE8"/>
    <w:rsid w:val="00CC52ED"/>
    <w:rsid w:val="00D1079D"/>
    <w:rsid w:val="00D73270"/>
    <w:rsid w:val="00D778D7"/>
    <w:rsid w:val="00DB7207"/>
    <w:rsid w:val="00DC7F7D"/>
    <w:rsid w:val="00E139D8"/>
    <w:rsid w:val="00E26DE0"/>
    <w:rsid w:val="00E33A5B"/>
    <w:rsid w:val="00E520AE"/>
    <w:rsid w:val="00E56259"/>
    <w:rsid w:val="00EC0763"/>
    <w:rsid w:val="00EF6223"/>
    <w:rsid w:val="00F15269"/>
    <w:rsid w:val="00F2187C"/>
    <w:rsid w:val="00F24980"/>
    <w:rsid w:val="00F5413D"/>
    <w:rsid w:val="00F64239"/>
    <w:rsid w:val="00F64889"/>
    <w:rsid w:val="00FD18A5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2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648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2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648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30"/>
      <c:rAngAx val="1"/>
    </c:view3D>
    <c:floor>
      <c:thickness val="0"/>
    </c:floor>
    <c:sideWall>
      <c:thickness val="0"/>
      <c:spPr>
        <a:ln>
          <a:solidFill>
            <a:schemeClr val="accent1"/>
          </a:solidFill>
        </a:ln>
        <a:effectLst>
          <a:outerShdw blurRad="63500" dist="50800" dir="6000000" algn="ctr" rotWithShape="0">
            <a:srgbClr val="000000">
              <a:alpha val="98000"/>
            </a:srgbClr>
          </a:outerShdw>
        </a:effectLst>
        <a:scene3d>
          <a:camera prst="orthographicFront"/>
          <a:lightRig rig="threePt" dir="t"/>
        </a:scene3d>
        <a:sp3d prstMaterial="metal"/>
      </c:spPr>
    </c:sideWall>
    <c:backWall>
      <c:thickness val="0"/>
      <c:spPr>
        <a:ln>
          <a:solidFill>
            <a:schemeClr val="accent1"/>
          </a:solidFill>
        </a:ln>
        <a:effectLst>
          <a:outerShdw blurRad="63500" dist="50800" dir="6000000" algn="ctr" rotWithShape="0">
            <a:srgbClr val="000000">
              <a:alpha val="98000"/>
            </a:srgbClr>
          </a:outerShdw>
        </a:effectLst>
        <a:scene3d>
          <a:camera prst="orthographicFront"/>
          <a:lightRig rig="threePt" dir="t"/>
        </a:scene3d>
        <a:sp3d prstMaterial="metal"/>
      </c:spPr>
    </c:backWall>
    <c:plotArea>
      <c:layout>
        <c:manualLayout>
          <c:layoutTarget val="inner"/>
          <c:xMode val="edge"/>
          <c:yMode val="edge"/>
          <c:x val="5.8052737990633237E-4"/>
          <c:y val="2.6458741262510763E-3"/>
          <c:w val="0.7301322105823489"/>
          <c:h val="0.462583861912100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13 591,6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1F497D"/>
              </a:solidFill>
              <a:scene3d>
                <a:camera prst="orthographicFront"/>
                <a:lightRig rig="threePt" dir="t"/>
              </a:scene3d>
              <a:sp3d>
                <a:bevelT w="0"/>
              </a:sp3d>
            </c:spPr>
          </c:dPt>
          <c:cat>
            <c:strRef>
              <c:f>Лист1!$A$3:$A$5</c:f>
              <c:strCache>
                <c:ptCount val="3"/>
                <c:pt idx="0">
                  <c:v>План финансирования на первый квартал 2021 г</c:v>
                </c:pt>
                <c:pt idx="1">
                  <c:v>Освоено за первый квартал 2021 года</c:v>
                </c:pt>
                <c:pt idx="2">
                  <c:v>неосвоенно на1 апреля 2021года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 formatCode="#,##0.00">
                  <c:v>13591.6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12 578,80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План финансирования на первый квартал 2021 г</c:v>
                </c:pt>
                <c:pt idx="1">
                  <c:v>Освоено за первый квартал 2021 года</c:v>
                </c:pt>
                <c:pt idx="2">
                  <c:v>неосвоенно на1 апреля 2021года</c:v>
                </c:pt>
              </c:strCache>
            </c:strRef>
          </c:cat>
          <c:val>
            <c:numRef>
              <c:f>Лист1!$C$3:$C$5</c:f>
              <c:numCache>
                <c:formatCode>0.00</c:formatCode>
                <c:ptCount val="3"/>
                <c:pt idx="1">
                  <c:v>12578.8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1 012,8 млн.тенге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План финансирования на первый квартал 2021 г</c:v>
                </c:pt>
                <c:pt idx="1">
                  <c:v>Освоено за первый квартал 2021 года</c:v>
                </c:pt>
                <c:pt idx="2">
                  <c:v>неосвоенно на1 апреля 2021года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2" formatCode="0.00">
                  <c:v>1012.8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gapDepth val="164"/>
        <c:shape val="cylinder"/>
        <c:axId val="168369664"/>
        <c:axId val="183917888"/>
        <c:axId val="0"/>
      </c:bar3DChart>
      <c:dateAx>
        <c:axId val="168369664"/>
        <c:scaling>
          <c:orientation val="minMax"/>
        </c:scaling>
        <c:delete val="0"/>
        <c:axPos val="b"/>
        <c:numFmt formatCode="#,##0.0" sourceLinked="1"/>
        <c:majorTickMark val="in"/>
        <c:minorTickMark val="in"/>
        <c:tickLblPos val="low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183917888"/>
        <c:crossesAt val="4.9999999999999997E+272"/>
        <c:auto val="0"/>
        <c:lblOffset val="100"/>
        <c:baseTimeUnit val="days"/>
        <c:minorUnit val="1"/>
      </c:dateAx>
      <c:valAx>
        <c:axId val="183917888"/>
        <c:scaling>
          <c:orientation val="minMax"/>
          <c:max val="40000"/>
        </c:scaling>
        <c:delete val="1"/>
        <c:axPos val="l"/>
        <c:majorGridlines/>
        <c:numFmt formatCode="#,##0.0" sourceLinked="0"/>
        <c:majorTickMark val="out"/>
        <c:minorTickMark val="out"/>
        <c:tickLblPos val="low"/>
        <c:crossAx val="168369664"/>
        <c:crosses val="autoZero"/>
        <c:crossBetween val="between"/>
        <c:majorUnit val="5000"/>
        <c:minorUnit val="5000"/>
        <c:dispUnits>
          <c:builtInUnit val="millions"/>
          <c:dispUnitsLbl>
            <c:layout>
              <c:manualLayout>
                <c:xMode val="edge"/>
                <c:yMode val="edge"/>
                <c:x val="9.4752673404566001E-2"/>
                <c:y val="5.0466093810141652E-2"/>
              </c:manualLayout>
            </c:layout>
          </c:dispUnitsLbl>
        </c:dispUnits>
      </c:valAx>
    </c:plotArea>
    <c:legend>
      <c:legendPos val="r"/>
      <c:layout>
        <c:manualLayout>
          <c:xMode val="edge"/>
          <c:yMode val="edge"/>
          <c:x val="0.7118309486950315"/>
          <c:y val="0.12678464625986938"/>
          <c:w val="0.22175515653977226"/>
          <c:h val="0.43454174951578894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АКИШЕВА АЙГУЛЬ МАНАПОВНА</cp:lastModifiedBy>
  <cp:revision>35</cp:revision>
  <cp:lastPrinted>2019-07-12T11:17:00Z</cp:lastPrinted>
  <dcterms:created xsi:type="dcterms:W3CDTF">2018-01-18T04:22:00Z</dcterms:created>
  <dcterms:modified xsi:type="dcterms:W3CDTF">2021-04-06T10:53:00Z</dcterms:modified>
</cp:coreProperties>
</file>