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A1F7E">
        <w:trPr>
          <w:cantSplit/>
          <w:trHeight w:hRule="exact" w:val="851"/>
        </w:trPr>
        <w:tc>
          <w:tcPr>
            <w:tcW w:w="1276" w:type="dxa"/>
            <w:tcBorders>
              <w:bottom w:val="single" w:sz="4" w:space="0" w:color="auto"/>
            </w:tcBorders>
            <w:vAlign w:val="bottom"/>
          </w:tcPr>
          <w:p w:rsidR="004A1F7E" w:rsidRDefault="004A1F7E">
            <w:pPr>
              <w:spacing w:after="80"/>
              <w:rPr>
                <w:sz w:val="20"/>
                <w:szCs w:val="20"/>
                <w:lang w:val="en-US"/>
              </w:rPr>
            </w:pPr>
          </w:p>
        </w:tc>
        <w:tc>
          <w:tcPr>
            <w:tcW w:w="2268" w:type="dxa"/>
            <w:tcBorders>
              <w:bottom w:val="single" w:sz="4" w:space="0" w:color="auto"/>
            </w:tcBorders>
            <w:vAlign w:val="bottom"/>
          </w:tcPr>
          <w:p w:rsidR="004A1F7E" w:rsidRDefault="008908BF">
            <w:pPr>
              <w:spacing w:after="80" w:line="300" w:lineRule="exact"/>
              <w:rPr>
                <w:b/>
                <w:sz w:val="20"/>
                <w:szCs w:val="20"/>
              </w:rPr>
            </w:pPr>
            <w:r>
              <w:rPr>
                <w:sz w:val="20"/>
                <w:szCs w:val="20"/>
              </w:rPr>
              <w:t>Организация Объединенных Наций</w:t>
            </w:r>
          </w:p>
        </w:tc>
        <w:tc>
          <w:tcPr>
            <w:tcW w:w="6095" w:type="dxa"/>
            <w:gridSpan w:val="2"/>
            <w:tcBorders>
              <w:bottom w:val="single" w:sz="4" w:space="0" w:color="auto"/>
            </w:tcBorders>
            <w:vAlign w:val="bottom"/>
          </w:tcPr>
          <w:p w:rsidR="004A1F7E" w:rsidRDefault="008908BF">
            <w:pPr>
              <w:jc w:val="right"/>
              <w:rPr>
                <w:sz w:val="20"/>
                <w:szCs w:val="20"/>
              </w:rPr>
            </w:pPr>
            <w:r>
              <w:rPr>
                <w:sz w:val="20"/>
                <w:szCs w:val="20"/>
              </w:rPr>
              <w:t>CCPR/C/130/D/2521/2015</w:t>
            </w:r>
          </w:p>
        </w:tc>
      </w:tr>
      <w:tr w:rsidR="004A1F7E">
        <w:trPr>
          <w:cantSplit/>
          <w:trHeight w:hRule="exact" w:val="2835"/>
        </w:trPr>
        <w:tc>
          <w:tcPr>
            <w:tcW w:w="1276" w:type="dxa"/>
            <w:tcBorders>
              <w:top w:val="single" w:sz="4" w:space="0" w:color="auto"/>
              <w:bottom w:val="single" w:sz="12" w:space="0" w:color="auto"/>
            </w:tcBorders>
          </w:tcPr>
          <w:p w:rsidR="004A1F7E" w:rsidRDefault="008908BF">
            <w:pPr>
              <w:spacing w:before="120"/>
              <w:rPr>
                <w:sz w:val="20"/>
                <w:szCs w:val="20"/>
              </w:rPr>
            </w:pPr>
            <w:r>
              <w:rPr>
                <w:noProof/>
                <w:sz w:val="20"/>
                <w:szCs w:val="20"/>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A1F7E" w:rsidRDefault="008908BF">
            <w:pPr>
              <w:spacing w:after="0" w:line="240" w:lineRule="auto"/>
              <w:rPr>
                <w:b/>
                <w:sz w:val="20"/>
                <w:szCs w:val="20"/>
              </w:rPr>
            </w:pPr>
            <w:r>
              <w:rPr>
                <w:b/>
                <w:sz w:val="20"/>
                <w:szCs w:val="20"/>
              </w:rPr>
              <w:t xml:space="preserve">Международный пакт </w:t>
            </w:r>
            <w:r>
              <w:rPr>
                <w:b/>
                <w:sz w:val="20"/>
                <w:szCs w:val="20"/>
              </w:rPr>
              <w:br/>
              <w:t xml:space="preserve">о гражданских и </w:t>
            </w:r>
          </w:p>
          <w:p w:rsidR="004A1F7E" w:rsidRDefault="008908BF">
            <w:pPr>
              <w:spacing w:after="0" w:line="240" w:lineRule="auto"/>
              <w:rPr>
                <w:b/>
                <w:sz w:val="20"/>
                <w:szCs w:val="20"/>
              </w:rPr>
            </w:pPr>
            <w:r>
              <w:rPr>
                <w:b/>
                <w:sz w:val="20"/>
                <w:szCs w:val="20"/>
              </w:rPr>
              <w:t xml:space="preserve">политических правах                                                                   </w:t>
            </w:r>
          </w:p>
          <w:p w:rsidR="004A1F7E" w:rsidRDefault="004A1F7E">
            <w:pPr>
              <w:spacing w:before="120" w:line="380" w:lineRule="exact"/>
              <w:rPr>
                <w:b/>
                <w:sz w:val="20"/>
                <w:szCs w:val="20"/>
              </w:rPr>
            </w:pPr>
          </w:p>
          <w:p w:rsidR="004A1F7E" w:rsidRDefault="004A1F7E">
            <w:pPr>
              <w:spacing w:before="120" w:line="380" w:lineRule="exact"/>
              <w:rPr>
                <w:b/>
                <w:sz w:val="20"/>
                <w:szCs w:val="20"/>
              </w:rPr>
            </w:pPr>
          </w:p>
          <w:p w:rsidR="004A1F7E" w:rsidRDefault="008908BF">
            <w:pPr>
              <w:spacing w:before="120" w:line="380" w:lineRule="exact"/>
              <w:rPr>
                <w:sz w:val="20"/>
                <w:szCs w:val="20"/>
              </w:rPr>
            </w:pPr>
            <w:r>
              <w:rPr>
                <w:sz w:val="20"/>
                <w:szCs w:val="20"/>
              </w:rPr>
              <w:t>Предварительная неотредактированная версия</w:t>
            </w:r>
          </w:p>
        </w:tc>
        <w:tc>
          <w:tcPr>
            <w:tcW w:w="2835" w:type="dxa"/>
            <w:tcBorders>
              <w:top w:val="single" w:sz="4" w:space="0" w:color="auto"/>
              <w:bottom w:val="single" w:sz="12" w:space="0" w:color="auto"/>
            </w:tcBorders>
          </w:tcPr>
          <w:p w:rsidR="004A1F7E" w:rsidRDefault="008908BF">
            <w:pPr>
              <w:spacing w:before="240" w:line="240" w:lineRule="exact"/>
              <w:rPr>
                <w:sz w:val="20"/>
                <w:szCs w:val="20"/>
              </w:rPr>
            </w:pPr>
            <w:r>
              <w:rPr>
                <w:sz w:val="20"/>
                <w:szCs w:val="20"/>
              </w:rPr>
              <w:t>Distr.: Общие сведения</w:t>
            </w:r>
          </w:p>
          <w:p w:rsidR="004A1F7E" w:rsidRDefault="008908BF">
            <w:pPr>
              <w:spacing w:line="240" w:lineRule="exact"/>
              <w:rPr>
                <w:sz w:val="20"/>
                <w:szCs w:val="20"/>
              </w:rPr>
            </w:pPr>
            <w:r>
              <w:rPr>
                <w:sz w:val="20"/>
                <w:szCs w:val="20"/>
              </w:rPr>
              <w:t xml:space="preserve">22  </w:t>
            </w:r>
            <w:r>
              <w:rPr>
                <w:sz w:val="20"/>
                <w:szCs w:val="20"/>
              </w:rPr>
              <w:t>февраля 2021 года</w:t>
            </w:r>
          </w:p>
          <w:p w:rsidR="004A1F7E" w:rsidRDefault="004A1F7E">
            <w:pPr>
              <w:spacing w:line="240" w:lineRule="exact"/>
              <w:rPr>
                <w:sz w:val="20"/>
                <w:szCs w:val="20"/>
              </w:rPr>
            </w:pPr>
          </w:p>
          <w:p w:rsidR="004A1F7E" w:rsidRDefault="008908BF">
            <w:pPr>
              <w:spacing w:line="240" w:lineRule="exact"/>
              <w:rPr>
                <w:sz w:val="20"/>
                <w:szCs w:val="20"/>
              </w:rPr>
            </w:pPr>
            <w:r>
              <w:rPr>
                <w:sz w:val="20"/>
                <w:szCs w:val="20"/>
              </w:rPr>
              <w:t>Оригинал: Английский</w:t>
            </w:r>
          </w:p>
          <w:p w:rsidR="004A1F7E" w:rsidRDefault="004A1F7E">
            <w:pPr>
              <w:spacing w:line="240" w:lineRule="exact"/>
              <w:rPr>
                <w:sz w:val="20"/>
                <w:szCs w:val="20"/>
              </w:rPr>
            </w:pPr>
          </w:p>
        </w:tc>
      </w:tr>
    </w:tbl>
    <w:p w:rsidR="004A1F7E" w:rsidRDefault="008908BF">
      <w:pPr>
        <w:pStyle w:val="HChG"/>
        <w:spacing w:before="0"/>
        <w:rPr>
          <w:rFonts w:asciiTheme="minorHAnsi" w:eastAsiaTheme="minorHAnsi" w:hAnsiTheme="minorHAnsi" w:cstheme="minorBidi"/>
          <w:bCs/>
          <w:sz w:val="20"/>
          <w:lang w:val="kk-KZ"/>
        </w:rPr>
      </w:pPr>
      <w:r>
        <w:rPr>
          <w:rFonts w:asciiTheme="minorHAnsi" w:eastAsiaTheme="minorHAnsi" w:hAnsiTheme="minorHAnsi" w:cstheme="minorBidi"/>
          <w:bCs/>
          <w:sz w:val="20"/>
          <w:lang w:val="kk-KZ"/>
        </w:rPr>
        <w:t>Комитет по правам человека</w:t>
      </w:r>
    </w:p>
    <w:p w:rsidR="004A1F7E" w:rsidRDefault="008908BF">
      <w:pPr>
        <w:pStyle w:val="HChG"/>
        <w:spacing w:before="0"/>
        <w:rPr>
          <w:sz w:val="20"/>
          <w:lang w:val="ru-RU"/>
        </w:rPr>
      </w:pPr>
      <w:r>
        <w:rPr>
          <w:sz w:val="20"/>
        </w:rPr>
        <w:tab/>
      </w:r>
      <w:r>
        <w:rPr>
          <w:sz w:val="20"/>
        </w:rPr>
        <w:tab/>
      </w:r>
      <w:r>
        <w:rPr>
          <w:sz w:val="20"/>
          <w:lang w:val="ru-RU"/>
        </w:rPr>
        <w:t>Соображения, принятые комитетом в соответствии со статьей 5 (4) Факультативного протокола в отношении сообщения № 2521/2015</w:t>
      </w:r>
      <w:r>
        <w:rPr>
          <w:rStyle w:val="a5"/>
          <w:sz w:val="20"/>
          <w:lang w:val="ru-RU"/>
        </w:rPr>
        <w:footnoteReference w:customMarkFollows="1" w:id="1"/>
        <w:t>*</w:t>
      </w:r>
      <w:r>
        <w:rPr>
          <w:sz w:val="20"/>
          <w:lang w:val="ru-RU"/>
        </w:rPr>
        <w:t>,</w:t>
      </w:r>
      <w:r>
        <w:rPr>
          <w:rStyle w:val="a5"/>
          <w:sz w:val="20"/>
          <w:lang w:val="ru-RU"/>
        </w:rPr>
        <w:footnoteReference w:customMarkFollows="1" w:id="2"/>
        <w:t>**</w:t>
      </w:r>
    </w:p>
    <w:p w:rsidR="004A1F7E" w:rsidRDefault="008908BF">
      <w:pPr>
        <w:pStyle w:val="SingleTxtG"/>
        <w:tabs>
          <w:tab w:val="left" w:pos="4820"/>
        </w:tabs>
        <w:ind w:left="4820" w:right="851" w:hanging="3686"/>
        <w:jc w:val="left"/>
        <w:rPr>
          <w:lang w:val="ru-RU"/>
        </w:rPr>
      </w:pPr>
      <w:r>
        <w:rPr>
          <w:i/>
          <w:lang w:val="kk-KZ"/>
        </w:rPr>
        <w:t>Обращение, представленное</w:t>
      </w:r>
      <w:r>
        <w:rPr>
          <w:i/>
          <w:iCs/>
          <w:lang w:val="ru-RU"/>
        </w:rPr>
        <w:t>:</w:t>
      </w:r>
      <w:r>
        <w:rPr>
          <w:i/>
          <w:iCs/>
          <w:lang w:val="ru-RU"/>
        </w:rPr>
        <w:tab/>
      </w:r>
      <w:bookmarkStart w:id="0" w:name="_GoBack"/>
      <w:r>
        <w:rPr>
          <w:lang w:val="ru-RU"/>
        </w:rPr>
        <w:t>Ермек Нарымбаев</w:t>
      </w:r>
      <w:bookmarkEnd w:id="0"/>
    </w:p>
    <w:p w:rsidR="004A1F7E" w:rsidRDefault="008908BF">
      <w:pPr>
        <w:pStyle w:val="SingleTxtG"/>
        <w:tabs>
          <w:tab w:val="left" w:pos="4820"/>
        </w:tabs>
        <w:ind w:left="4820" w:right="851" w:hanging="3686"/>
        <w:jc w:val="left"/>
        <w:rPr>
          <w:lang w:val="ru-RU"/>
        </w:rPr>
      </w:pPr>
      <w:r>
        <w:rPr>
          <w:i/>
          <w:lang w:val="kk-KZ"/>
        </w:rPr>
        <w:t>Предполагаемая</w:t>
      </w:r>
      <w:r>
        <w:rPr>
          <w:i/>
          <w:lang w:val="kk-KZ"/>
        </w:rPr>
        <w:t xml:space="preserve"> жертва</w:t>
      </w:r>
      <w:r>
        <w:rPr>
          <w:i/>
          <w:iCs/>
          <w:lang w:val="ru-RU"/>
        </w:rPr>
        <w:t>:</w:t>
      </w:r>
      <w:r>
        <w:rPr>
          <w:i/>
          <w:iCs/>
          <w:lang w:val="ru-RU"/>
        </w:rPr>
        <w:tab/>
      </w:r>
      <w:r>
        <w:rPr>
          <w:lang w:val="ru-RU"/>
        </w:rPr>
        <w:t>Автор</w:t>
      </w:r>
    </w:p>
    <w:p w:rsidR="004A1F7E" w:rsidRDefault="008908BF">
      <w:pPr>
        <w:pStyle w:val="SingleTxtG"/>
        <w:tabs>
          <w:tab w:val="left" w:pos="4820"/>
        </w:tabs>
        <w:ind w:left="4820" w:right="851" w:hanging="3686"/>
        <w:jc w:val="left"/>
        <w:rPr>
          <w:lang w:val="ru-RU"/>
        </w:rPr>
      </w:pPr>
      <w:r>
        <w:rPr>
          <w:i/>
          <w:lang w:val="kk-KZ"/>
        </w:rPr>
        <w:t>Государство-участник</w:t>
      </w:r>
      <w:r>
        <w:rPr>
          <w:i/>
          <w:iCs/>
          <w:lang w:val="ru-RU"/>
        </w:rPr>
        <w:t>:</w:t>
      </w:r>
      <w:r>
        <w:rPr>
          <w:i/>
          <w:iCs/>
          <w:lang w:val="ru-RU"/>
        </w:rPr>
        <w:tab/>
      </w:r>
      <w:r>
        <w:rPr>
          <w:lang w:val="kk-KZ"/>
        </w:rPr>
        <w:t>Казахстан</w:t>
      </w:r>
    </w:p>
    <w:p w:rsidR="004A1F7E" w:rsidRDefault="008908BF">
      <w:pPr>
        <w:pStyle w:val="SingleTxtG"/>
        <w:tabs>
          <w:tab w:val="left" w:pos="4820"/>
        </w:tabs>
        <w:ind w:left="4820" w:right="851" w:hanging="3686"/>
        <w:jc w:val="left"/>
        <w:rPr>
          <w:lang w:val="ru-RU"/>
        </w:rPr>
      </w:pPr>
      <w:r>
        <w:rPr>
          <w:i/>
          <w:lang w:val="kk-KZ"/>
        </w:rPr>
        <w:t>Дата обращения</w:t>
      </w:r>
      <w:r>
        <w:rPr>
          <w:i/>
          <w:iCs/>
          <w:lang w:val="ru-RU"/>
        </w:rPr>
        <w:t>:</w:t>
      </w:r>
      <w:r>
        <w:rPr>
          <w:i/>
          <w:iCs/>
          <w:lang w:val="ru-RU"/>
        </w:rPr>
        <w:tab/>
      </w:r>
      <w:r>
        <w:rPr>
          <w:lang w:val="ru-RU"/>
        </w:rPr>
        <w:t>2 сентября 2014 года (</w:t>
      </w:r>
      <w:r>
        <w:rPr>
          <w:lang w:val="kk-KZ"/>
        </w:rPr>
        <w:t>первоначальное представление</w:t>
      </w:r>
      <w:r>
        <w:rPr>
          <w:lang w:val="ru-RU"/>
        </w:rPr>
        <w:t>)</w:t>
      </w:r>
    </w:p>
    <w:p w:rsidR="004A1F7E" w:rsidRDefault="008908BF">
      <w:pPr>
        <w:pStyle w:val="SingleTxtG"/>
        <w:tabs>
          <w:tab w:val="left" w:pos="4820"/>
        </w:tabs>
        <w:ind w:left="4820" w:right="851" w:hanging="3686"/>
        <w:jc w:val="left"/>
        <w:rPr>
          <w:lang w:val="ru-RU"/>
        </w:rPr>
      </w:pPr>
      <w:r>
        <w:rPr>
          <w:i/>
          <w:lang w:val="kk-KZ"/>
        </w:rPr>
        <w:t>Ссылки на документы</w:t>
      </w:r>
      <w:r>
        <w:rPr>
          <w:i/>
          <w:iCs/>
          <w:lang w:val="ru-RU"/>
        </w:rPr>
        <w:t>:</w:t>
      </w:r>
      <w:r>
        <w:rPr>
          <w:i/>
          <w:iCs/>
          <w:lang w:val="ru-RU"/>
        </w:rPr>
        <w:tab/>
      </w:r>
      <w:r>
        <w:rPr>
          <w:lang w:val="ru-RU"/>
        </w:rPr>
        <w:t xml:space="preserve">Решение, принятое в соответствии с правилом 92 правил процедуры Комитета, препровождено государству-участнику 8 января </w:t>
      </w:r>
      <w:r>
        <w:rPr>
          <w:lang w:val="ru-RU"/>
        </w:rPr>
        <w:t>2015 года (не издано в виде документа)</w:t>
      </w:r>
    </w:p>
    <w:p w:rsidR="004A1F7E" w:rsidRDefault="008908BF">
      <w:pPr>
        <w:pStyle w:val="SingleTxtG"/>
        <w:tabs>
          <w:tab w:val="left" w:pos="4820"/>
        </w:tabs>
        <w:ind w:left="4820" w:right="851" w:hanging="3686"/>
        <w:jc w:val="left"/>
        <w:rPr>
          <w:lang w:val="ru-RU"/>
        </w:rPr>
      </w:pPr>
      <w:r>
        <w:rPr>
          <w:i/>
          <w:lang w:val="kk-KZ"/>
        </w:rPr>
        <w:t>Дата принятия соображений</w:t>
      </w:r>
      <w:r>
        <w:rPr>
          <w:i/>
          <w:iCs/>
          <w:lang w:val="ru-RU"/>
        </w:rPr>
        <w:t>:</w:t>
      </w:r>
      <w:r>
        <w:rPr>
          <w:i/>
          <w:iCs/>
          <w:lang w:val="ru-RU"/>
        </w:rPr>
        <w:tab/>
      </w:r>
      <w:r>
        <w:rPr>
          <w:lang w:val="ru-RU"/>
        </w:rPr>
        <w:t>6 ноября 2020 года</w:t>
      </w:r>
    </w:p>
    <w:p w:rsidR="004A1F7E" w:rsidRDefault="008908BF">
      <w:pPr>
        <w:pStyle w:val="SingleTxtG"/>
        <w:tabs>
          <w:tab w:val="left" w:pos="4820"/>
        </w:tabs>
        <w:ind w:left="4820" w:right="851" w:hanging="3686"/>
        <w:jc w:val="left"/>
        <w:rPr>
          <w:lang w:val="ru-RU"/>
        </w:rPr>
      </w:pPr>
      <w:r>
        <w:rPr>
          <w:i/>
          <w:lang w:val="kk-KZ"/>
        </w:rPr>
        <w:t>Предмет</w:t>
      </w:r>
      <w:r>
        <w:rPr>
          <w:i/>
          <w:iCs/>
          <w:lang w:val="ru-RU"/>
        </w:rPr>
        <w:t>:</w:t>
      </w:r>
      <w:r>
        <w:rPr>
          <w:i/>
          <w:iCs/>
          <w:lang w:val="ru-RU"/>
        </w:rPr>
        <w:tab/>
      </w:r>
      <w:r>
        <w:rPr>
          <w:lang w:val="ru-RU"/>
        </w:rPr>
        <w:t xml:space="preserve">Участие в несанкционированном мирном протесте </w:t>
      </w:r>
    </w:p>
    <w:p w:rsidR="004A1F7E" w:rsidRDefault="008908BF">
      <w:pPr>
        <w:pStyle w:val="SingleTxtG"/>
        <w:tabs>
          <w:tab w:val="left" w:pos="4820"/>
        </w:tabs>
        <w:ind w:left="4820" w:right="851" w:hanging="3686"/>
        <w:jc w:val="left"/>
        <w:rPr>
          <w:lang w:val="ru-RU"/>
        </w:rPr>
      </w:pPr>
      <w:r>
        <w:rPr>
          <w:i/>
          <w:lang w:val="kk-KZ"/>
        </w:rPr>
        <w:t>Процедурные вопросы</w:t>
      </w:r>
      <w:r>
        <w:rPr>
          <w:i/>
          <w:iCs/>
          <w:lang w:val="ru-RU"/>
        </w:rPr>
        <w:t>:</w:t>
      </w:r>
      <w:r>
        <w:rPr>
          <w:i/>
          <w:iCs/>
          <w:lang w:val="ru-RU"/>
        </w:rPr>
        <w:tab/>
      </w:r>
      <w:r>
        <w:rPr>
          <w:lang w:val="ru-RU"/>
        </w:rPr>
        <w:t>Уровень обоснованности претензий</w:t>
      </w:r>
    </w:p>
    <w:p w:rsidR="004A1F7E" w:rsidRDefault="008908BF">
      <w:pPr>
        <w:pStyle w:val="SingleTxtG"/>
        <w:tabs>
          <w:tab w:val="left" w:pos="4820"/>
        </w:tabs>
        <w:ind w:left="4820" w:right="851" w:hanging="3686"/>
        <w:jc w:val="left"/>
        <w:rPr>
          <w:lang w:val="ru-RU"/>
        </w:rPr>
      </w:pPr>
      <w:r>
        <w:rPr>
          <w:i/>
          <w:lang w:val="kk-KZ"/>
        </w:rPr>
        <w:t>Вопросы существа</w:t>
      </w:r>
      <w:r>
        <w:rPr>
          <w:i/>
          <w:iCs/>
          <w:lang w:val="ru-RU"/>
        </w:rPr>
        <w:t>:</w:t>
      </w:r>
      <w:r>
        <w:rPr>
          <w:i/>
          <w:iCs/>
          <w:lang w:val="ru-RU"/>
        </w:rPr>
        <w:tab/>
      </w:r>
      <w:r>
        <w:rPr>
          <w:lang w:val="ru-RU"/>
        </w:rPr>
        <w:t xml:space="preserve">Свобода выражения мнений; Свобода собраний </w:t>
      </w:r>
      <w:r>
        <w:rPr>
          <w:lang w:val="ru-RU"/>
        </w:rPr>
        <w:t>гарантии справедливого судебного разбирательства;</w:t>
      </w:r>
    </w:p>
    <w:p w:rsidR="004A1F7E" w:rsidRDefault="008908BF">
      <w:pPr>
        <w:pStyle w:val="SingleTxtG"/>
        <w:tabs>
          <w:tab w:val="left" w:pos="4820"/>
        </w:tabs>
        <w:ind w:left="4820" w:right="851" w:hanging="3686"/>
        <w:jc w:val="left"/>
        <w:rPr>
          <w:lang w:val="ru-RU"/>
        </w:rPr>
      </w:pPr>
      <w:r>
        <w:rPr>
          <w:i/>
          <w:lang w:val="kk-KZ"/>
        </w:rPr>
        <w:t>Статьи пакта</w:t>
      </w:r>
      <w:r>
        <w:rPr>
          <w:i/>
          <w:iCs/>
          <w:lang w:val="ru-RU"/>
        </w:rPr>
        <w:t>:</w:t>
      </w:r>
      <w:r>
        <w:rPr>
          <w:i/>
          <w:iCs/>
          <w:lang w:val="ru-RU"/>
        </w:rPr>
        <w:tab/>
      </w:r>
      <w:r>
        <w:rPr>
          <w:lang w:val="ru-RU"/>
        </w:rPr>
        <w:t>14 (3) (</w:t>
      </w:r>
      <w:r>
        <w:t>d</w:t>
      </w:r>
      <w:r>
        <w:rPr>
          <w:lang w:val="ru-RU"/>
        </w:rPr>
        <w:t>) (</w:t>
      </w:r>
      <w:r>
        <w:t>g</w:t>
      </w:r>
      <w:r>
        <w:rPr>
          <w:lang w:val="ru-RU"/>
        </w:rPr>
        <w:t xml:space="preserve">), 19, </w:t>
      </w:r>
      <w:r>
        <w:t>and</w:t>
      </w:r>
      <w:r>
        <w:rPr>
          <w:lang w:val="ru-RU"/>
        </w:rPr>
        <w:t xml:space="preserve"> 21</w:t>
      </w:r>
    </w:p>
    <w:p w:rsidR="004A1F7E" w:rsidRDefault="008908BF">
      <w:pPr>
        <w:pStyle w:val="SingleTxtG"/>
        <w:tabs>
          <w:tab w:val="left" w:pos="4820"/>
        </w:tabs>
        <w:spacing w:after="0"/>
        <w:ind w:left="4820" w:hanging="3686"/>
        <w:jc w:val="left"/>
        <w:rPr>
          <w:i/>
          <w:lang w:val="kk-KZ"/>
        </w:rPr>
      </w:pPr>
      <w:r>
        <w:rPr>
          <w:i/>
          <w:lang w:val="kk-KZ"/>
        </w:rPr>
        <w:t>Статьи Факультативного</w:t>
      </w:r>
    </w:p>
    <w:p w:rsidR="004A1F7E" w:rsidRDefault="008908BF">
      <w:pPr>
        <w:pStyle w:val="SingleTxtG"/>
        <w:tabs>
          <w:tab w:val="left" w:pos="4820"/>
        </w:tabs>
        <w:spacing w:after="240"/>
        <w:ind w:left="4820" w:hanging="3686"/>
        <w:jc w:val="left"/>
        <w:rPr>
          <w:lang w:val="ru-RU"/>
        </w:rPr>
      </w:pPr>
      <w:r>
        <w:rPr>
          <w:i/>
          <w:lang w:val="kk-KZ"/>
        </w:rPr>
        <w:t>протокола</w:t>
      </w:r>
      <w:r>
        <w:rPr>
          <w:i/>
          <w:iCs/>
          <w:lang w:val="ru-RU"/>
        </w:rPr>
        <w:t>:</w:t>
      </w:r>
      <w:r>
        <w:rPr>
          <w:i/>
          <w:iCs/>
          <w:lang w:val="ru-RU"/>
        </w:rPr>
        <w:tab/>
      </w:r>
      <w:r>
        <w:rPr>
          <w:lang w:val="ru-RU"/>
        </w:rPr>
        <w:t>2</w:t>
      </w:r>
    </w:p>
    <w:p w:rsidR="004A1F7E" w:rsidRDefault="008908BF">
      <w:pPr>
        <w:rPr>
          <w:rFonts w:ascii="Times New Roman" w:eastAsia="Times New Roman" w:hAnsi="Times New Roman" w:cs="Times New Roman"/>
          <w:sz w:val="20"/>
          <w:szCs w:val="20"/>
        </w:rPr>
      </w:pPr>
      <w:r>
        <w:br w:type="page"/>
      </w:r>
    </w:p>
    <w:p w:rsidR="004A1F7E" w:rsidRDefault="008908BF">
      <w:pPr>
        <w:pStyle w:val="SingleTxtG"/>
        <w:ind w:right="0"/>
        <w:rPr>
          <w:lang w:val="ru-RU"/>
        </w:rPr>
      </w:pPr>
      <w:r>
        <w:rPr>
          <w:lang w:val="ru-RU"/>
        </w:rPr>
        <w:lastRenderedPageBreak/>
        <w:t>1.</w:t>
      </w:r>
      <w:r>
        <w:rPr>
          <w:lang w:val="ru-RU"/>
        </w:rPr>
        <w:tab/>
        <w:t>Авор – Ермек Нарымбаев, гражданин Казахстана 1970 года рождения. Он утверждает, что является жертвой нарушения Казахстаном е</w:t>
      </w:r>
      <w:r>
        <w:rPr>
          <w:lang w:val="ru-RU"/>
        </w:rPr>
        <w:t>го прав в соответствии со статьями 14 (3) (д) и (г); 19 и 21 Международного пакта о гражданских и политических правах («Пакт»). Факультативный протокол вступил в силу для государства-участника 30 сентября 2009 года. Автор не представлен.</w:t>
      </w:r>
    </w:p>
    <w:p w:rsidR="004A1F7E" w:rsidRDefault="008908BF">
      <w:pPr>
        <w:ind w:left="426" w:firstLine="708"/>
        <w:rPr>
          <w:rFonts w:ascii="Times New Roman" w:hAnsi="Times New Roman" w:cs="Times New Roman"/>
          <w:sz w:val="20"/>
          <w:szCs w:val="20"/>
        </w:rPr>
      </w:pPr>
      <w:r>
        <w:rPr>
          <w:rFonts w:ascii="Times New Roman" w:hAnsi="Times New Roman" w:cs="Times New Roman"/>
          <w:b/>
          <w:sz w:val="20"/>
          <w:szCs w:val="20"/>
        </w:rPr>
        <w:t>Факты, представлен</w:t>
      </w:r>
      <w:r>
        <w:rPr>
          <w:rFonts w:ascii="Times New Roman" w:hAnsi="Times New Roman" w:cs="Times New Roman"/>
          <w:b/>
          <w:sz w:val="20"/>
          <w:szCs w:val="20"/>
        </w:rPr>
        <w:t>ные автором</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2.1 Автор является правозащитником и учредителем общественной организации “Союз трудящихся и безработных”. 30 сентября 2013 года он поддержал подачу петиции в Отделение ООН в Алматы, протестуя против использования Российской Федерацией космичес</w:t>
      </w:r>
      <w:r>
        <w:rPr>
          <w:rFonts w:ascii="Times New Roman" w:hAnsi="Times New Roman" w:cs="Times New Roman"/>
          <w:sz w:val="20"/>
          <w:szCs w:val="20"/>
        </w:rPr>
        <w:t>кой станции Байконур для запуска ракеты “Протон-М”. Автор утверждает, что было недопустимо, чтобы казахстанская экология и здоровье населения были повреждены. Он утверждает, что все цивилизованные народы, кроме России, отказались от использования газа “геп</w:t>
      </w:r>
      <w:r>
        <w:rPr>
          <w:rFonts w:ascii="Times New Roman" w:hAnsi="Times New Roman" w:cs="Times New Roman"/>
          <w:sz w:val="20"/>
          <w:szCs w:val="20"/>
        </w:rPr>
        <w:t>тил” для зажигания ракет. В июле 2013 года одна такая ракета взорвалась через минуту после выстрела и упала на землю. По данным его страховой компании, ракета сбросила около 500 тонн топлива, состоящего из “гептила” и “амила”, которые являются сильнодейств</w:t>
      </w:r>
      <w:r>
        <w:rPr>
          <w:rFonts w:ascii="Times New Roman" w:hAnsi="Times New Roman" w:cs="Times New Roman"/>
          <w:sz w:val="20"/>
          <w:szCs w:val="20"/>
        </w:rPr>
        <w:t>ующими ядовитыми веществами. Он подчеркивает, что газ “гептил” является высокотоксичным, способным взаимодействовать с несколькими системами человека, такими как внутренние органы, центральная нервная система или система кровообращения.</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2.2 За участие в не</w:t>
      </w:r>
      <w:r>
        <w:rPr>
          <w:rFonts w:ascii="Times New Roman" w:hAnsi="Times New Roman" w:cs="Times New Roman"/>
          <w:sz w:val="20"/>
          <w:szCs w:val="20"/>
        </w:rPr>
        <w:t xml:space="preserve">санкционированном мероприятии 2 октября 2013 года Специализированный межрайонный административный суд Алматы оштрафовал автора на 86550 тенге в соответствии с положениями Закона об организации и проведении мирных собраний, митингов, шествий, пикетирований </w:t>
      </w:r>
      <w:r>
        <w:rPr>
          <w:rFonts w:ascii="Times New Roman" w:hAnsi="Times New Roman" w:cs="Times New Roman"/>
          <w:sz w:val="20"/>
          <w:szCs w:val="20"/>
        </w:rPr>
        <w:t>и демонстраций за участие в несанкционированном массовом мероприятии. 5 ноября 2013 года Апелляционный суд оставил это решение в силе.</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2.3 Автор обжаловал решение Апелляционного суда в Прокуратуру Алматы и в Генеральную прокуратуру в порядке надзора. 25 ап</w:t>
      </w:r>
      <w:r>
        <w:rPr>
          <w:rFonts w:ascii="Times New Roman" w:hAnsi="Times New Roman" w:cs="Times New Roman"/>
          <w:sz w:val="20"/>
          <w:szCs w:val="20"/>
        </w:rPr>
        <w:t>реля 2014 года первый заместитель прокурора города Алматы не нашел оснований для ходатайства о пересмотре дела в порядке надзора. 14 июля 2014 года заместитель генерального прокурора отклонил его апелляцию. Таким образом, по мнению автора, внутренние средс</w:t>
      </w:r>
      <w:r>
        <w:rPr>
          <w:rFonts w:ascii="Times New Roman" w:hAnsi="Times New Roman" w:cs="Times New Roman"/>
          <w:sz w:val="20"/>
          <w:szCs w:val="20"/>
        </w:rPr>
        <w:t>тва правовой защиты были исчерпаны.</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2.4 Автор утверждает, что в соответствии со статьей 14 (3)(d) каждый имеет право защищать себя в присутствии адвоката, но в его случае этого не произошло. Кроме того, суд не допросил полицейских свидетелей, по показаниям</w:t>
      </w:r>
      <w:r>
        <w:rPr>
          <w:rFonts w:ascii="Times New Roman" w:hAnsi="Times New Roman" w:cs="Times New Roman"/>
          <w:sz w:val="20"/>
          <w:szCs w:val="20"/>
        </w:rPr>
        <w:t xml:space="preserve"> которых автор был оштрафован.</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2.5 В ходе судебного разбирательства были также нарушены права автора в соответствии со статьей 14 (3) (d) и (g), поскольку он никогда не был проинформирован о дате рассмотрения апелляции, которое состоялось в его отсутствие.</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2.6 Кроме того, по мнению автора, судьи действовали предвзято, игнорируя его доводы и показания одного из свидетелей, а также нормы национального и международного права в области прав человека, явно действуя в пользу полиции. С самого начала судебного раз</w:t>
      </w:r>
      <w:r>
        <w:rPr>
          <w:rFonts w:ascii="Times New Roman" w:hAnsi="Times New Roman" w:cs="Times New Roman"/>
          <w:sz w:val="20"/>
          <w:szCs w:val="20"/>
        </w:rPr>
        <w:t>бирательства суд рассматривал автора как правонарушителя.</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2.7 Автор ссылается на прецедентное право Комитета по вопросу о свободе выражения мнений, в частности на дело Алешкевич против Беларуси (сообщение 1785/2008) или дело Процко и Толчина против Беларус</w:t>
      </w:r>
      <w:r>
        <w:rPr>
          <w:rFonts w:ascii="Times New Roman" w:hAnsi="Times New Roman" w:cs="Times New Roman"/>
          <w:sz w:val="20"/>
          <w:szCs w:val="20"/>
        </w:rPr>
        <w:t>и (сообщения 1919-</w:t>
      </w:r>
      <w:r>
        <w:rPr>
          <w:rFonts w:ascii="Times New Roman" w:hAnsi="Times New Roman" w:cs="Times New Roman"/>
          <w:sz w:val="20"/>
          <w:szCs w:val="20"/>
        </w:rPr>
        <w:lastRenderedPageBreak/>
        <w:t>1920/2009), где Комитет пришел к выводу о том, что ограничения, наложенные на свободу выражения мнений авторов, были необоснованными.</w:t>
      </w:r>
    </w:p>
    <w:p w:rsidR="004A1F7E" w:rsidRDefault="008908BF">
      <w:pPr>
        <w:ind w:left="1134"/>
        <w:jc w:val="both"/>
        <w:rPr>
          <w:rFonts w:ascii="Times New Roman" w:hAnsi="Times New Roman" w:cs="Times New Roman"/>
          <w:b/>
          <w:sz w:val="20"/>
          <w:szCs w:val="20"/>
        </w:rPr>
      </w:pPr>
      <w:r>
        <w:rPr>
          <w:rFonts w:ascii="Times New Roman" w:hAnsi="Times New Roman" w:cs="Times New Roman"/>
          <w:b/>
          <w:sz w:val="20"/>
          <w:szCs w:val="20"/>
        </w:rPr>
        <w:t>Претензия</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 xml:space="preserve">3.1 Автор утверждает, что его права, предусмотренные пунктом 3 d) статьи 14 Пакта, были </w:t>
      </w:r>
      <w:r>
        <w:rPr>
          <w:rFonts w:ascii="Times New Roman" w:hAnsi="Times New Roman" w:cs="Times New Roman"/>
          <w:sz w:val="20"/>
          <w:szCs w:val="20"/>
        </w:rPr>
        <w:t>нарушены, поскольку он никогда не был уведомлен о дате подачи апелляции, и суд рассмотрел его апелляцию в его отсутствие. Председательствующий Судья Специализированного межрайонного административного суда г. Алматы не принял во внимание тот факт, что его в</w:t>
      </w:r>
      <w:r>
        <w:rPr>
          <w:rFonts w:ascii="Times New Roman" w:hAnsi="Times New Roman" w:cs="Times New Roman"/>
          <w:sz w:val="20"/>
          <w:szCs w:val="20"/>
        </w:rPr>
        <w:t>ина так и не была установлена, и не допросил ряд свидетелей, имеющих отношение к делу.</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3.2 Автор утверждает, что в ходе судебного разбирательства он признал, что присутствовал при передаче ходатайства в Отделение ООН, но отрицал свою вину. Председательству</w:t>
      </w:r>
      <w:r>
        <w:rPr>
          <w:rFonts w:ascii="Times New Roman" w:hAnsi="Times New Roman" w:cs="Times New Roman"/>
          <w:sz w:val="20"/>
          <w:szCs w:val="20"/>
        </w:rPr>
        <w:t>ющий судья не принял во внимание его заявления о том, что он не организовывал мероприятие, не вмешивался и не давал интервью, а только позиционировал себя в качестве наблюдателя. Он также пояснил, что для рассматриваемого события существуют факторы, исключ</w:t>
      </w:r>
      <w:r>
        <w:rPr>
          <w:rFonts w:ascii="Times New Roman" w:hAnsi="Times New Roman" w:cs="Times New Roman"/>
          <w:sz w:val="20"/>
          <w:szCs w:val="20"/>
        </w:rPr>
        <w:t>ающие ответственность по Кодексу об административных правонарушениях.</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 xml:space="preserve">3.3 Автор утверждает, что суд проигнорировал тот факт, что он имел право присоединиться к передаче петиции как по национальному, так и по международному праву. В соответствии со статьей </w:t>
      </w:r>
      <w:r>
        <w:rPr>
          <w:rFonts w:ascii="Times New Roman" w:hAnsi="Times New Roman" w:cs="Times New Roman"/>
          <w:sz w:val="20"/>
          <w:szCs w:val="20"/>
        </w:rPr>
        <w:t>22 Конституции Республики Казахстан и статьей 19 Пакта признается свобода выражения мнений, включая право придерживаться своих мнений, а также право искать, получать и распространять любую информацию, идеи и художественные формы выражения независимо от нац</w:t>
      </w:r>
      <w:r>
        <w:rPr>
          <w:rFonts w:ascii="Times New Roman" w:hAnsi="Times New Roman" w:cs="Times New Roman"/>
          <w:sz w:val="20"/>
          <w:szCs w:val="20"/>
        </w:rPr>
        <w:t>иональных границ, устно, письменно, через прессу или иными способами.</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3.4 Событие 30 сентября 2013 года носило мирный характер, не представляло угрозы государственной безопасности и не нарушало прав и свобод других лиц. В соответствии со статьей 21 Пакта п</w:t>
      </w:r>
      <w:r>
        <w:rPr>
          <w:rFonts w:ascii="Times New Roman" w:hAnsi="Times New Roman" w:cs="Times New Roman"/>
          <w:sz w:val="20"/>
          <w:szCs w:val="20"/>
        </w:rPr>
        <w:t>раво на мирные собрания подлежит лишь таким ограничениям, которые установлены законом и необходимы в демократическом обществе в интересах национальной безопасности или общественной безопасности, общественного порядка (ordre public), охраны здоровья или нра</w:t>
      </w:r>
      <w:r>
        <w:rPr>
          <w:rFonts w:ascii="Times New Roman" w:hAnsi="Times New Roman" w:cs="Times New Roman"/>
          <w:sz w:val="20"/>
          <w:szCs w:val="20"/>
        </w:rPr>
        <w:t>вственности населения или защиты прав и свобод других лиц. По мнению Комитета, при введении ограничений государства не должны ставить под угрозу принцип права на свободу собраний. Ограничения должны быть обоснованы по мере необходимости в соответствии с од</w:t>
      </w:r>
      <w:r>
        <w:rPr>
          <w:rFonts w:ascii="Times New Roman" w:hAnsi="Times New Roman" w:cs="Times New Roman"/>
          <w:sz w:val="20"/>
          <w:szCs w:val="20"/>
        </w:rPr>
        <w:t>ним из этих исключений.</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3.5 В соответствии с постановлением Верховного Суда от 10 июля 2008 года Казахстан обязан обеспечить всем находящимся под его юрисдикцией лицам защиту прав и свобод в свете Конституции и своих международных обязательств.</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3.6 Автор с</w:t>
      </w:r>
      <w:r>
        <w:rPr>
          <w:rFonts w:ascii="Times New Roman" w:hAnsi="Times New Roman" w:cs="Times New Roman"/>
          <w:sz w:val="20"/>
          <w:szCs w:val="20"/>
        </w:rPr>
        <w:t xml:space="preserve">читает, что наложенный на него штраф был направлен на то, чтобы наказать его за передачу петиции в Отделение ООН в Алматы, тем самым нарушив его права на свободу выражения мнений и свободу собраний, гарантированные статьями 19 и 21 Пакта. Власти не смогли </w:t>
      </w:r>
      <w:r>
        <w:rPr>
          <w:rFonts w:ascii="Times New Roman" w:hAnsi="Times New Roman" w:cs="Times New Roman"/>
          <w:sz w:val="20"/>
          <w:szCs w:val="20"/>
        </w:rPr>
        <w:t>обосновать, почему введенные ограничения были необходимы.</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 xml:space="preserve">3.7 Передача петиции, по мнению автора, не может быть квалифицирована как собрание, поскольку оно состояло всего из 5-6 участников. Его участие в поддержке в качестве наблюдателя не могло оправдать </w:t>
      </w:r>
      <w:r>
        <w:rPr>
          <w:rFonts w:ascii="Times New Roman" w:hAnsi="Times New Roman" w:cs="Times New Roman"/>
          <w:sz w:val="20"/>
          <w:szCs w:val="20"/>
        </w:rPr>
        <w:t xml:space="preserve">штраф. Кроме того, никаких доказательств представлено не было, а выводы суда не соответствуют фактическим обстоятельствам дела. Заключение суда о его виновности было основано на полицейском протоколе о совершении преступления. Передача </w:t>
      </w:r>
      <w:r>
        <w:rPr>
          <w:rFonts w:ascii="Times New Roman" w:hAnsi="Times New Roman" w:cs="Times New Roman"/>
          <w:sz w:val="20"/>
          <w:szCs w:val="20"/>
        </w:rPr>
        <w:lastRenderedPageBreak/>
        <w:t>петиции не представл</w:t>
      </w:r>
      <w:r>
        <w:rPr>
          <w:rFonts w:ascii="Times New Roman" w:hAnsi="Times New Roman" w:cs="Times New Roman"/>
          <w:sz w:val="20"/>
          <w:szCs w:val="20"/>
        </w:rPr>
        <w:t>яла угрозы национальной безопасности или общественной безопасности, общественному порядку (ordre public), охране здоровья или нравственности населения или защите прав и свобод других лиц. Таким образом, по мнению автора, организаторы не обязаны были информ</w:t>
      </w:r>
      <w:r>
        <w:rPr>
          <w:rFonts w:ascii="Times New Roman" w:hAnsi="Times New Roman" w:cs="Times New Roman"/>
          <w:sz w:val="20"/>
          <w:szCs w:val="20"/>
        </w:rPr>
        <w:t>ировать власти о планируемой акции.</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3.8 Автор считает, что государства должны не только обеспечивать право на мирные собрания, но и избегать принятия неоправданных косвенных ограничений на реализацию этого права.</w:t>
      </w:r>
    </w:p>
    <w:p w:rsidR="004A1F7E" w:rsidRDefault="008908BF">
      <w:pPr>
        <w:ind w:left="1134"/>
        <w:jc w:val="both"/>
        <w:rPr>
          <w:rFonts w:ascii="Times New Roman" w:hAnsi="Times New Roman" w:cs="Times New Roman"/>
          <w:b/>
          <w:sz w:val="20"/>
          <w:szCs w:val="20"/>
        </w:rPr>
      </w:pPr>
      <w:r>
        <w:rPr>
          <w:rFonts w:ascii="Times New Roman" w:hAnsi="Times New Roman" w:cs="Times New Roman"/>
          <w:b/>
          <w:sz w:val="20"/>
          <w:szCs w:val="20"/>
        </w:rPr>
        <w:t>Замечания государства-участника</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4.1 Государ</w:t>
      </w:r>
      <w:r>
        <w:rPr>
          <w:rFonts w:ascii="Times New Roman" w:hAnsi="Times New Roman" w:cs="Times New Roman"/>
          <w:sz w:val="20"/>
          <w:szCs w:val="20"/>
        </w:rPr>
        <w:t>ство-участник представило свои замечания по вопросу о приемлемости и существу дела вербальной нотой от 1 апреля 2015 года. В нем напоминаются факты дела: 30 сентября 2013 года около 11 часов утра перед зданием ООН в Алматы автор без предварительного разреш</w:t>
      </w:r>
      <w:r>
        <w:rPr>
          <w:rFonts w:ascii="Times New Roman" w:hAnsi="Times New Roman" w:cs="Times New Roman"/>
          <w:sz w:val="20"/>
          <w:szCs w:val="20"/>
        </w:rPr>
        <w:t>ения местных властей и с целью привлечения внимания граждан совместно с членами “Халыктыкского альянса” организовал акцию протеста с осуждением использования ракетного топлива “гептил” ракетами "Протон" на Байконуре. Автор протянул листовку формата А3 с на</w:t>
      </w:r>
      <w:r>
        <w:rPr>
          <w:rFonts w:ascii="Times New Roman" w:hAnsi="Times New Roman" w:cs="Times New Roman"/>
          <w:sz w:val="20"/>
          <w:szCs w:val="20"/>
        </w:rPr>
        <w:t>дписью “Если правительство разрешит "Протон", я против”.</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 xml:space="preserve">4.2 Представители прокуратуры разъяснили участникам акции, что требования Закона о порядке организации и проведения собраний, митингов, пикетирований и демонстраций не соблюдены, однако участники не </w:t>
      </w:r>
      <w:r>
        <w:rPr>
          <w:rFonts w:ascii="Times New Roman" w:hAnsi="Times New Roman" w:cs="Times New Roman"/>
          <w:sz w:val="20"/>
          <w:szCs w:val="20"/>
        </w:rPr>
        <w:t>отреагировали на предложение прекратить свои противоправные действия.</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лица, защищаемые законом интересы общества или государства, от противоправного покушения путем причинения вреда, если не достигнуты пределы необходимой обороны. В соответствии с частью 2</w:t>
      </w:r>
      <w:r>
        <w:rPr>
          <w:rFonts w:ascii="Times New Roman" w:hAnsi="Times New Roman" w:cs="Times New Roman"/>
          <w:sz w:val="20"/>
          <w:szCs w:val="20"/>
        </w:rPr>
        <w:t xml:space="preserve"> статьи 38 Кодекса об административных правонарушениях каждый человек, независимо от его профессиональной или специальной подготовки, имеет равное право на необходимую защиту и на недопущение незаконного покушения или обращения за помощью к другим лицам ил</w:t>
      </w:r>
      <w:r>
        <w:rPr>
          <w:rFonts w:ascii="Times New Roman" w:hAnsi="Times New Roman" w:cs="Times New Roman"/>
          <w:sz w:val="20"/>
          <w:szCs w:val="20"/>
        </w:rPr>
        <w:t>и государственным органам.</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4.3 30 сентября 2013 года в отношении автора был составлен протокол о совершении административного правонарушения в соответствии с частью 3 статьи 373 Кодекса об административных правонарушениях за нарушение порядка организации и</w:t>
      </w:r>
      <w:r>
        <w:rPr>
          <w:rFonts w:ascii="Times New Roman" w:hAnsi="Times New Roman" w:cs="Times New Roman"/>
          <w:sz w:val="20"/>
          <w:szCs w:val="20"/>
        </w:rPr>
        <w:t xml:space="preserve"> проведения массовых мероприятий. Постановлением от 2 октября 2013 года Специализированный межрайонный административный суд г. Алматы оштрафовал автора на 86 550 тенге. Вина автора была должным образом установлена на основании протокола об административном</w:t>
      </w:r>
      <w:r>
        <w:rPr>
          <w:rFonts w:ascii="Times New Roman" w:hAnsi="Times New Roman" w:cs="Times New Roman"/>
          <w:sz w:val="20"/>
          <w:szCs w:val="20"/>
        </w:rPr>
        <w:t xml:space="preserve"> правонарушении от 30 сентября 2013 года, его показаний, показаний свидетелей и других имеющихся в деле доказательств, которые были оценены в суде.</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 xml:space="preserve">4.4 Автор обжаловал это постановление. 5 ноября 2013 года Алматинский городской суд подтвердил решение суда </w:t>
      </w:r>
      <w:r>
        <w:rPr>
          <w:rFonts w:ascii="Times New Roman" w:hAnsi="Times New Roman" w:cs="Times New Roman"/>
          <w:sz w:val="20"/>
          <w:szCs w:val="20"/>
        </w:rPr>
        <w:t>первой инстанции.</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4.5 Автор обратился в прокуратуру города Алматы и Генеральную прокуратуру с просьбой о пересмотре в порядке надзора судебных решений по данному делу. Прокуратура не нашла оснований для возбуждения такой проверки.</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 xml:space="preserve">4.6 Государство-участник </w:t>
      </w:r>
      <w:r>
        <w:rPr>
          <w:rFonts w:ascii="Times New Roman" w:hAnsi="Times New Roman" w:cs="Times New Roman"/>
          <w:sz w:val="20"/>
          <w:szCs w:val="20"/>
        </w:rPr>
        <w:t>считает, что настоящее сообщение является необоснованным и неприемлемым. Тот факт, что автор участвовал в передаче петиции в рамках несанкционированного мероприятия возле здания ООН 30 сентября, был должным образом установлен в суде и не был оспорен авторо</w:t>
      </w:r>
      <w:r>
        <w:rPr>
          <w:rFonts w:ascii="Times New Roman" w:hAnsi="Times New Roman" w:cs="Times New Roman"/>
          <w:sz w:val="20"/>
          <w:szCs w:val="20"/>
        </w:rPr>
        <w:t xml:space="preserve">м. Однако автор оспаривает, что его действия представляют собой преступление, </w:t>
      </w:r>
      <w:r>
        <w:rPr>
          <w:rFonts w:ascii="Times New Roman" w:hAnsi="Times New Roman" w:cs="Times New Roman"/>
          <w:sz w:val="20"/>
          <w:szCs w:val="20"/>
        </w:rPr>
        <w:lastRenderedPageBreak/>
        <w:t>учитывая, что, по его словам, он участвовал только в качестве наблюдателя и лишь осуществлял свои права на мирные собрания и свободу выражения мнений.</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4.7 Однако в то же время из</w:t>
      </w:r>
      <w:r>
        <w:rPr>
          <w:rFonts w:ascii="Times New Roman" w:hAnsi="Times New Roman" w:cs="Times New Roman"/>
          <w:sz w:val="20"/>
          <w:szCs w:val="20"/>
        </w:rPr>
        <w:t xml:space="preserve"> показаний свидетелей и других материалов дела было установлено, что автор был одним из организаторов мероприятия и принимал в нем самое активное участие, в том числе нес плакат во время мероприятия.</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4.8 В целом право на свободу выражения мнений подлежит о</w:t>
      </w:r>
      <w:r>
        <w:rPr>
          <w:rFonts w:ascii="Times New Roman" w:hAnsi="Times New Roman" w:cs="Times New Roman"/>
          <w:sz w:val="20"/>
          <w:szCs w:val="20"/>
        </w:rPr>
        <w:t xml:space="preserve">граничениям. В части 3 статьи 19 Пакта разъясняется, что это право может быть ограничено, если ограничения предусмотрены законом и необходимы: а) для уважения прав или репутации других лиц; b) для защиты национальной безопасности или общественного порядка </w:t>
      </w:r>
      <w:r>
        <w:rPr>
          <w:rFonts w:ascii="Times New Roman" w:hAnsi="Times New Roman" w:cs="Times New Roman"/>
          <w:sz w:val="20"/>
          <w:szCs w:val="20"/>
        </w:rPr>
        <w:t>(ordre public), здоровья или нравственности населения.</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4.9 Статья 21 Пакта защищает право на мирные собрания. Это право подлежит ограничению только теми ограничениями, которые предусмотрены законом и необходимы в демократическом обществе в интересах национ</w:t>
      </w:r>
      <w:r>
        <w:rPr>
          <w:rFonts w:ascii="Times New Roman" w:hAnsi="Times New Roman" w:cs="Times New Roman"/>
          <w:sz w:val="20"/>
          <w:szCs w:val="20"/>
        </w:rPr>
        <w:t>альной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4.10 Эти требования были перенесены в национальное законодательство. Статья 32 Консти</w:t>
      </w:r>
      <w:r>
        <w:rPr>
          <w:rFonts w:ascii="Times New Roman" w:hAnsi="Times New Roman" w:cs="Times New Roman"/>
          <w:sz w:val="20"/>
          <w:szCs w:val="20"/>
        </w:rPr>
        <w:t>туции защищает право на мирные собрания. Это право может быть ограничено только законом и в интересах государственной безопасности, общественного порядка, обороны или здоровья, защиты прав и свобод других лиц. Статья 2 Закона о порядке организации и провед</w:t>
      </w:r>
      <w:r>
        <w:rPr>
          <w:rFonts w:ascii="Times New Roman" w:hAnsi="Times New Roman" w:cs="Times New Roman"/>
          <w:sz w:val="20"/>
          <w:szCs w:val="20"/>
        </w:rPr>
        <w:t>ения массовых мероприятий требует разрешения компетентных органов на проведение такого мероприятия. Статья 9 Закона предусматривает привлечение к административной ответственности по закону лиц, нарушающих эти требования.</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4.11 Таким образом, мирные собрания</w:t>
      </w:r>
      <w:r>
        <w:rPr>
          <w:rFonts w:ascii="Times New Roman" w:hAnsi="Times New Roman" w:cs="Times New Roman"/>
          <w:sz w:val="20"/>
          <w:szCs w:val="20"/>
        </w:rPr>
        <w:t>, собрания, митинги, пикеты и т. д. в Казахстане не запрещены, а регулируются определенными ограничениями.</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4.12 Демократические источники писаного права, например рекомендации БДИПЧ ОБСЕ, признают необходимость особых ограничений права на свободу ассоциаци</w:t>
      </w:r>
      <w:r>
        <w:rPr>
          <w:rFonts w:ascii="Times New Roman" w:hAnsi="Times New Roman" w:cs="Times New Roman"/>
          <w:sz w:val="20"/>
          <w:szCs w:val="20"/>
        </w:rPr>
        <w:t>й.</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4.13 Государство-участник отмечает, что в последние годы в Европе государства понесли значительный ущерб в результате реализации определенной частью общества права на собрания. Сюда относятся погромы, порча государственной или частной собственности, пре</w:t>
      </w:r>
      <w:r>
        <w:rPr>
          <w:rFonts w:ascii="Times New Roman" w:hAnsi="Times New Roman" w:cs="Times New Roman"/>
          <w:sz w:val="20"/>
          <w:szCs w:val="20"/>
        </w:rPr>
        <w:t>кращение работы предприятий или транспортных средств и т. д. Эти акции всегда начинались как мирные собрания. Следовательно, необходимо регулировать, а не запрещать проведение таких мероприятий, в том числе путем получения разрешения соответствующих террит</w:t>
      </w:r>
      <w:r>
        <w:rPr>
          <w:rFonts w:ascii="Times New Roman" w:hAnsi="Times New Roman" w:cs="Times New Roman"/>
          <w:sz w:val="20"/>
          <w:szCs w:val="20"/>
        </w:rPr>
        <w:t>ориальных органов.</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4.14 Что касается рассматриваемого дела, то государство-участник отмечает, что проведение таких спонтанных, несанкционированных действий в неподходящих местах, например там, где наблюдается большой объем движения или где выражение мнения</w:t>
      </w:r>
      <w:r>
        <w:rPr>
          <w:rFonts w:ascii="Times New Roman" w:hAnsi="Times New Roman" w:cs="Times New Roman"/>
          <w:sz w:val="20"/>
          <w:szCs w:val="20"/>
        </w:rPr>
        <w:t xml:space="preserve"> может спровоцировать насильственную реакцию со стороны других членов общества, может нарушить спокойствие и безопасность окружающей среды и нормальное функционирование транспорта и объектов инфраструктуры. Таким образом, акция, одним из организаторов кото</w:t>
      </w:r>
      <w:r>
        <w:rPr>
          <w:rFonts w:ascii="Times New Roman" w:hAnsi="Times New Roman" w:cs="Times New Roman"/>
          <w:sz w:val="20"/>
          <w:szCs w:val="20"/>
        </w:rPr>
        <w:t>рой являлся автор, явно могла привести к массовому нарушению общественного порядка, создав угрозу здоровью и безопасности самого автора, а также других лиц, а также причинение серьезной угрозы общественной безопасности.</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 xml:space="preserve">4.15 Пользование свободой выражения </w:t>
      </w:r>
      <w:r>
        <w:rPr>
          <w:rFonts w:ascii="Times New Roman" w:hAnsi="Times New Roman" w:cs="Times New Roman"/>
          <w:sz w:val="20"/>
          <w:szCs w:val="20"/>
        </w:rPr>
        <w:t xml:space="preserve">мнений и собраний предполагает особые обязательства и ответственность, поскольку злоупотребление ими может иметь </w:t>
      </w:r>
      <w:r>
        <w:rPr>
          <w:rFonts w:ascii="Times New Roman" w:hAnsi="Times New Roman" w:cs="Times New Roman"/>
          <w:sz w:val="20"/>
          <w:szCs w:val="20"/>
        </w:rPr>
        <w:lastRenderedPageBreak/>
        <w:t>серьезные последствия, связанные с нарушением нормального функционирования транспортной инфраструктуры, массовыми беспорядками и другими формам</w:t>
      </w:r>
      <w:r>
        <w:rPr>
          <w:rFonts w:ascii="Times New Roman" w:hAnsi="Times New Roman" w:cs="Times New Roman"/>
          <w:sz w:val="20"/>
          <w:szCs w:val="20"/>
        </w:rPr>
        <w:t>и антиобщественного поведения. По этой причине введен ряд ограничений на осуществление этих прав, в том числе административная ответственность за нарушение порядка проведения таких мероприятий. Благодаря своевременному вмешательству полиции никаких серьезн</w:t>
      </w:r>
      <w:r>
        <w:rPr>
          <w:rFonts w:ascii="Times New Roman" w:hAnsi="Times New Roman" w:cs="Times New Roman"/>
          <w:sz w:val="20"/>
          <w:szCs w:val="20"/>
        </w:rPr>
        <w:t>ых последствий в результате незаконных действий автора не произошло.</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4.16 Государство-участник добавляет, что во многих развитых странах свобода собраний и собраний ограничивается специальными законами. В Казахстане существуют специально отведенные места д</w:t>
      </w:r>
      <w:r>
        <w:rPr>
          <w:rFonts w:ascii="Times New Roman" w:hAnsi="Times New Roman" w:cs="Times New Roman"/>
          <w:sz w:val="20"/>
          <w:szCs w:val="20"/>
        </w:rPr>
        <w:t>ля проведения митингов, определяемые местными органами власти.</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 xml:space="preserve">4.17 Государство-участник отмечает, что, например, в Нью-Йорке проведение митинга требует предварительная заявка за 45 дней с точным указанием маршрута. Власти могут определить другой маршрут. </w:t>
      </w:r>
      <w:r>
        <w:rPr>
          <w:rFonts w:ascii="Times New Roman" w:hAnsi="Times New Roman" w:cs="Times New Roman"/>
          <w:sz w:val="20"/>
          <w:szCs w:val="20"/>
        </w:rPr>
        <w:t>В Швеции существует “черный список” организаторов митингов, которым было отказано или которые были ликвидированы. Во Франции власти могут отказать в проведении любого митинга. В Великобритании могут быть установлены временные моратории на собрания; собрани</w:t>
      </w:r>
      <w:r>
        <w:rPr>
          <w:rFonts w:ascii="Times New Roman" w:hAnsi="Times New Roman" w:cs="Times New Roman"/>
          <w:sz w:val="20"/>
          <w:szCs w:val="20"/>
        </w:rPr>
        <w:t>я разрешаются только после получения разрешения полиции. В Германии массовое мероприятие, собрание или демонстрация в помещении или на открытом воздухе должны быть сначала санкционированы властями.</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4.18 Таким образом, правовое регулирование массовых меропр</w:t>
      </w:r>
      <w:r>
        <w:rPr>
          <w:rFonts w:ascii="Times New Roman" w:hAnsi="Times New Roman" w:cs="Times New Roman"/>
          <w:sz w:val="20"/>
          <w:szCs w:val="20"/>
        </w:rPr>
        <w:t>иятий в Казахстане полностью соответствует нормам международного права, в том числе Всеобщей Декларации прав человека и Пакта, а также практике развитых демократий.</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4.19 Государство-участник разъясняет свою практику в отношении массовых мероприятий. Органи</w:t>
      </w:r>
      <w:r>
        <w:rPr>
          <w:rFonts w:ascii="Times New Roman" w:hAnsi="Times New Roman" w:cs="Times New Roman"/>
          <w:sz w:val="20"/>
          <w:szCs w:val="20"/>
        </w:rPr>
        <w:t>заторы планируемого мероприятия должны обратиться в местный исполнительный орган. В соответствии со статьей 9 Закона о порядке организации массовых мероприятий лица, нарушившие Закон о порядке организации массовых мероприятий, могут быть привлечены к ответ</w:t>
      </w:r>
      <w:r>
        <w:rPr>
          <w:rFonts w:ascii="Times New Roman" w:hAnsi="Times New Roman" w:cs="Times New Roman"/>
          <w:sz w:val="20"/>
          <w:szCs w:val="20"/>
        </w:rPr>
        <w:t>ственности.</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 xml:space="preserve">4.20 Как следует из материалов дела автора, ни один аким (местный исполнительный комитет) не санкционировал проведение собрания, митинга или пикета 30 сентября 2013 года рядом со зданием ООН в Алматы. Этот факт не оспаривается автором, который </w:t>
      </w:r>
      <w:r>
        <w:rPr>
          <w:rFonts w:ascii="Times New Roman" w:hAnsi="Times New Roman" w:cs="Times New Roman"/>
          <w:sz w:val="20"/>
          <w:szCs w:val="20"/>
        </w:rPr>
        <w:t xml:space="preserve">сознательно решил нарушить закон. Довод автора о том, что, активно участвуя в несанкционированном собрании, он не совершил никакого преступления, был оценен судом первой инстанции и в апелляционном порядке и признан необоснованным. Автор был наказан не за </w:t>
      </w:r>
      <w:r>
        <w:rPr>
          <w:rFonts w:ascii="Times New Roman" w:hAnsi="Times New Roman" w:cs="Times New Roman"/>
          <w:sz w:val="20"/>
          <w:szCs w:val="20"/>
        </w:rPr>
        <w:t>свободное выражение своего мнения, а за нарушение установленного законом порядка проведения общественно-культурных мероприятий.</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 xml:space="preserve">4.21 Утверждения автора о нарушении гарантий справедливого судебного разбирательства, например о том, что он не был </w:t>
      </w:r>
      <w:r>
        <w:rPr>
          <w:rFonts w:ascii="Times New Roman" w:hAnsi="Times New Roman" w:cs="Times New Roman"/>
          <w:sz w:val="20"/>
          <w:szCs w:val="20"/>
        </w:rPr>
        <w:t>проинформирован о своем праве быть представленным защитником и заслушать апелляцию в его отсутствие, были, по мнению государства-участника, рассмотрены в суде, но признаны необоснованными. Следует отметить, что в процессе составления административного прот</w:t>
      </w:r>
      <w:r>
        <w:rPr>
          <w:rFonts w:ascii="Times New Roman" w:hAnsi="Times New Roman" w:cs="Times New Roman"/>
          <w:sz w:val="20"/>
          <w:szCs w:val="20"/>
        </w:rPr>
        <w:t>окола о правонарушении и в ходе судебного разбирательства ему были разъяснены права автора, и он не просил о назначении защитника. Суд первой инстанции ознакомил автора со всеми его процессуальными правами, предусмотренными статьей 584 Кодекса об администр</w:t>
      </w:r>
      <w:r>
        <w:rPr>
          <w:rFonts w:ascii="Times New Roman" w:hAnsi="Times New Roman" w:cs="Times New Roman"/>
          <w:sz w:val="20"/>
          <w:szCs w:val="20"/>
        </w:rPr>
        <w:t>ативных правонарушениях КОАП, включая право быть представленным адвокатом. Это подтверждается подписью автора на соответствующем бланке.</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lastRenderedPageBreak/>
        <w:t xml:space="preserve">4.22 Статья 589 КОАП перечисляет ситуации, когда присутствие защитника является обязательным. В данном случае это было </w:t>
      </w:r>
      <w:r>
        <w:rPr>
          <w:rFonts w:ascii="Times New Roman" w:hAnsi="Times New Roman" w:cs="Times New Roman"/>
          <w:sz w:val="20"/>
          <w:szCs w:val="20"/>
        </w:rPr>
        <w:t>не так.</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4.23 В соответствии со статьей 584 (2) КОАП дело может быть рассмотрено в отсутствие обвиняемого, если имеется информация о том, что он был надлежащим образом уведомлен о месте и времени обжалования и не поступило ходатайства об отсрочке. Апелляцио</w:t>
      </w:r>
      <w:r>
        <w:rPr>
          <w:rFonts w:ascii="Times New Roman" w:hAnsi="Times New Roman" w:cs="Times New Roman"/>
          <w:sz w:val="20"/>
          <w:szCs w:val="20"/>
        </w:rPr>
        <w:t>нный суд удовлетворился тем, что автор был должным образом уведомлен, и в свете отсутствия ходатайства об отсрочке принял решение продолжить рассмотрение апелляции в отсутствие автора.</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4.24 Государство-участник далее считает, что данное дело является непри</w:t>
      </w:r>
      <w:r>
        <w:rPr>
          <w:rFonts w:ascii="Times New Roman" w:hAnsi="Times New Roman" w:cs="Times New Roman"/>
          <w:sz w:val="20"/>
          <w:szCs w:val="20"/>
        </w:rPr>
        <w:t>емлемым, поскольку автор не исчерпал всех имеющихся средств правовой защиты. Например, он не обратился в порядке надзора непосредственно к Генеральному прокурору против решения заместителя Генерального прокурора.</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4.25 В заключение государство-участник счит</w:t>
      </w:r>
      <w:r>
        <w:rPr>
          <w:rFonts w:ascii="Times New Roman" w:hAnsi="Times New Roman" w:cs="Times New Roman"/>
          <w:sz w:val="20"/>
          <w:szCs w:val="20"/>
        </w:rPr>
        <w:t>ает, что, признав автора виновным в совершении административного правонарушения, его власти соблюдали положения Пакта. Таким образом, сообщение является необоснованным и неприемлемым.</w:t>
      </w:r>
    </w:p>
    <w:p w:rsidR="004A1F7E" w:rsidRDefault="008908BF">
      <w:pPr>
        <w:ind w:left="1134"/>
        <w:jc w:val="both"/>
        <w:rPr>
          <w:rFonts w:ascii="Times New Roman" w:hAnsi="Times New Roman" w:cs="Times New Roman"/>
          <w:b/>
          <w:sz w:val="20"/>
          <w:szCs w:val="20"/>
        </w:rPr>
      </w:pPr>
      <w:r>
        <w:rPr>
          <w:rFonts w:ascii="Times New Roman" w:hAnsi="Times New Roman" w:cs="Times New Roman"/>
          <w:b/>
          <w:sz w:val="20"/>
          <w:szCs w:val="20"/>
        </w:rPr>
        <w:t>Комментарии автора к замечаниям государства-участника</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5.1 Автор представ</w:t>
      </w:r>
      <w:r>
        <w:rPr>
          <w:rFonts w:ascii="Times New Roman" w:hAnsi="Times New Roman" w:cs="Times New Roman"/>
          <w:sz w:val="20"/>
          <w:szCs w:val="20"/>
        </w:rPr>
        <w:t>ил комментарии к замечаниям государства-участника в письме от 21 мая 2015 года. Он подчеркивает, что передача петиции 30 сентября 2013 года не представляла угрозы для государственной или общественной безопасности, не нарушала общественный порядок, здоровье</w:t>
      </w:r>
      <w:r>
        <w:rPr>
          <w:rFonts w:ascii="Times New Roman" w:hAnsi="Times New Roman" w:cs="Times New Roman"/>
          <w:sz w:val="20"/>
          <w:szCs w:val="20"/>
        </w:rPr>
        <w:t xml:space="preserve"> населения, общественную мораль, защиту прав и свобод других лиц. Скорее, вопросы, поднятые в ходе кампании, касались защиты общественной безопасности и здоровья населения. Компонент топлива “гептил” содержит высокотоксичные вещества, способные негативно в</w:t>
      </w:r>
      <w:r>
        <w:rPr>
          <w:rFonts w:ascii="Times New Roman" w:hAnsi="Times New Roman" w:cs="Times New Roman"/>
          <w:sz w:val="20"/>
          <w:szCs w:val="20"/>
        </w:rPr>
        <w:t>лиять на здоровье человека. Все цивилизованные страны, включая Россию, отказались от использования “гептила” на своей территории. Регионы, где используется газ, страдают от большого спектра заболеваний. Группа активистов подготовила петицию об использовани</w:t>
      </w:r>
      <w:r>
        <w:rPr>
          <w:rFonts w:ascii="Times New Roman" w:hAnsi="Times New Roman" w:cs="Times New Roman"/>
          <w:sz w:val="20"/>
          <w:szCs w:val="20"/>
        </w:rPr>
        <w:t>и Россией газа в Казахстане и хотела доставить ее в Офис ООН в Алматы. Автор, активист и председатель общественной организации, пришел поддержать акцию, когда узнал об этом в социальных сетях.</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5.2 Автор отмечает, что свобода выражения мнений или собраний м</w:t>
      </w:r>
      <w:r>
        <w:rPr>
          <w:rFonts w:ascii="Times New Roman" w:hAnsi="Times New Roman" w:cs="Times New Roman"/>
          <w:sz w:val="20"/>
          <w:szCs w:val="20"/>
        </w:rPr>
        <w:t>ожет быть ограничена. Однако государство-участник не объяснило, почему гражданин не может выразить свое мнение и почему мирное собрание было прервано, а его участники подвергнуты административному штрафу. Власти хотели подавить активность гражданского обще</w:t>
      </w:r>
      <w:r>
        <w:rPr>
          <w:rFonts w:ascii="Times New Roman" w:hAnsi="Times New Roman" w:cs="Times New Roman"/>
          <w:sz w:val="20"/>
          <w:szCs w:val="20"/>
        </w:rPr>
        <w:t>ства, указывая гражданам, что им не разрешается выражать свое мнение или публично высказывать требования.</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 xml:space="preserve">5.3 Автор ссылается на Руководящие принципы по свободе мирных собраний (ОБСЕ, 2007). По их мнению, право на свободу мирных собраний является ключевым </w:t>
      </w:r>
      <w:r>
        <w:rPr>
          <w:rFonts w:ascii="Times New Roman" w:hAnsi="Times New Roman" w:cs="Times New Roman"/>
          <w:sz w:val="20"/>
          <w:szCs w:val="20"/>
        </w:rPr>
        <w:t xml:space="preserve">правом, и им следует пользоваться, насколько это возможно, без внешнего регулирования. Лица, желающие принять участие в мирном собрании, не должны требовать получения разрешения. Законодательство должно недвусмысленно создавать презумпцию в пользу свободы </w:t>
      </w:r>
      <w:r>
        <w:rPr>
          <w:rFonts w:ascii="Times New Roman" w:hAnsi="Times New Roman" w:cs="Times New Roman"/>
          <w:sz w:val="20"/>
          <w:szCs w:val="20"/>
        </w:rPr>
        <w:t>собраний. Государства должны защищать мирные собрания и обеспечивать целый ряд механизмов и процедур для эффективного практического осуществления свободы собраний без излишнего бюрократического регулирования. Ограничения свободы собраний должны быть соразм</w:t>
      </w:r>
      <w:r>
        <w:rPr>
          <w:rFonts w:ascii="Times New Roman" w:hAnsi="Times New Roman" w:cs="Times New Roman"/>
          <w:sz w:val="20"/>
          <w:szCs w:val="20"/>
        </w:rPr>
        <w:t>ерны. Власти должны выбрать менее навязчивое вмешательство в мирные собрания.</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lastRenderedPageBreak/>
        <w:t>5.4 Автор утверждает, что публичная передача петиции была способом выражения мнения, которое не угрожало государственной власти или общественному порядку, и поэтому не было необх</w:t>
      </w:r>
      <w:r>
        <w:rPr>
          <w:rFonts w:ascii="Times New Roman" w:hAnsi="Times New Roman" w:cs="Times New Roman"/>
          <w:sz w:val="20"/>
          <w:szCs w:val="20"/>
        </w:rPr>
        <w:t>одимости прерывать ее.</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 xml:space="preserve">5.5 Он объясняет, что подавление гражданской активности может иметь трагические последствия. В подтверждение он цитирует доклад Специального докладчика по вопросу о правах на свободу мирных собраний и ассоциаций по итогам его визита </w:t>
      </w:r>
      <w:r>
        <w:rPr>
          <w:rFonts w:ascii="Times New Roman" w:hAnsi="Times New Roman" w:cs="Times New Roman"/>
          <w:sz w:val="20"/>
          <w:szCs w:val="20"/>
        </w:rPr>
        <w:t>в Казахстан2. Специальный докладчик отметил, что люди, которые не могут выразить недовольство мирным путем, склонны выражать его с помощью насилия или находить утешение в экстремистской идеологии.</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5.6 Автор отмечает примеры других стран, касающиеся регулир</w:t>
      </w:r>
      <w:r>
        <w:rPr>
          <w:rFonts w:ascii="Times New Roman" w:hAnsi="Times New Roman" w:cs="Times New Roman"/>
          <w:sz w:val="20"/>
          <w:szCs w:val="20"/>
        </w:rPr>
        <w:t>ования свободы собраний, приведенные государством-участником. Что касается сравнения с США, где запрос с указанием маршрута должен быть представлен за 45 дней до мероприятия, то автор отмечает, что в Казахстане такое право не может быть реализовано, поскол</w:t>
      </w:r>
      <w:r>
        <w:rPr>
          <w:rFonts w:ascii="Times New Roman" w:hAnsi="Times New Roman" w:cs="Times New Roman"/>
          <w:sz w:val="20"/>
          <w:szCs w:val="20"/>
        </w:rPr>
        <w:t>ьку власти выделили площадь возле кинотеатра “Сары-Арка” в Алматы в качестве постоянного места проведения массовых мероприятий. Таким образом, для частных лиц в Алматы, как и в других городах, есть только одна площадка, предназначенная для проведения массо</w:t>
      </w:r>
      <w:r>
        <w:rPr>
          <w:rFonts w:ascii="Times New Roman" w:hAnsi="Times New Roman" w:cs="Times New Roman"/>
          <w:sz w:val="20"/>
          <w:szCs w:val="20"/>
        </w:rPr>
        <w:t>вых мероприятий.</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5.7 Автор далее отмечает, что обращение в Прокуратуру не является эффективным средством правовой защиты, однако он все же обратился в прокуратуру Алматы и в Генеральную прокуратуру.</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5.8 По мнению автора, судьи, рассматривая его дело, немед</w:t>
      </w:r>
      <w:r>
        <w:rPr>
          <w:rFonts w:ascii="Times New Roman" w:hAnsi="Times New Roman" w:cs="Times New Roman"/>
          <w:sz w:val="20"/>
          <w:szCs w:val="20"/>
        </w:rPr>
        <w:t>ленно заняли позицию властей, не принимая во внимание международные стандарты и игнорируя устные просьбы автора, что является нарушением статьи 14 Пакта. В дополнение, стенограмма судебного заседания не сохранилась. Автор не смог представить никаких письме</w:t>
      </w:r>
      <w:r>
        <w:rPr>
          <w:rFonts w:ascii="Times New Roman" w:hAnsi="Times New Roman" w:cs="Times New Roman"/>
          <w:sz w:val="20"/>
          <w:szCs w:val="20"/>
        </w:rPr>
        <w:t>нных просьб. В материалах дела нет заявления о том, что он отказался от помощи защитника. Кроме того, автор не был проинформирован о дате и месте рассмотрения апелляции, в результате чего он не присутствовал при рассмотрении апелляции и не мог представлять</w:t>
      </w:r>
      <w:r>
        <w:rPr>
          <w:rFonts w:ascii="Times New Roman" w:hAnsi="Times New Roman" w:cs="Times New Roman"/>
          <w:sz w:val="20"/>
          <w:szCs w:val="20"/>
        </w:rPr>
        <w:t xml:space="preserve"> свои интересы в суде.</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5.9 По мнению автора, государство-участник отказывается рассматривать по существу нарушение его прав на свободу выражения мнений и мирных собраний.</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5.10 Для улучшения ситуации в Казахстане автор предлагает, в частности, :</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(1) приняти</w:t>
      </w:r>
      <w:r>
        <w:rPr>
          <w:rFonts w:ascii="Times New Roman" w:hAnsi="Times New Roman" w:cs="Times New Roman"/>
          <w:sz w:val="20"/>
          <w:szCs w:val="20"/>
        </w:rPr>
        <w:t>е властями нового закона о свободе мирных собраний в соответствии с Конституцией и международными стандартами; (2) Новый закон должен требовать уведомления, а не разрешения, причем уведомление должно осуществляться в форме письма или в любой форме электрон</w:t>
      </w:r>
      <w:r>
        <w:rPr>
          <w:rFonts w:ascii="Times New Roman" w:hAnsi="Times New Roman" w:cs="Times New Roman"/>
          <w:sz w:val="20"/>
          <w:szCs w:val="20"/>
        </w:rPr>
        <w:t>ного или иного средства связи; (3) Органы местного самоуправления обязаны подтвердить получение уведомления в день его получения. В целях прозрачности онлайн-календарь будет создан через социальные сети или совместно с местными властями;</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(4) Уведомления до</w:t>
      </w:r>
      <w:r>
        <w:rPr>
          <w:rFonts w:ascii="Times New Roman" w:hAnsi="Times New Roman" w:cs="Times New Roman"/>
          <w:sz w:val="20"/>
          <w:szCs w:val="20"/>
        </w:rPr>
        <w:t>лжны быть представлены не ранее чем за 45 дней и не позднее чем за 3 дня до события; (5) Ограничения или запреты собраний должны быть решены судом. Бремя доказывания наличия оснований для запрета собрания возлагается на местный исполнительный орган (акимат</w:t>
      </w:r>
      <w:r>
        <w:rPr>
          <w:rFonts w:ascii="Times New Roman" w:hAnsi="Times New Roman" w:cs="Times New Roman"/>
          <w:sz w:val="20"/>
          <w:szCs w:val="20"/>
        </w:rPr>
        <w:t>).</w:t>
      </w:r>
    </w:p>
    <w:p w:rsidR="004A1F7E" w:rsidRDefault="008908BF">
      <w:pPr>
        <w:ind w:left="1134"/>
        <w:jc w:val="both"/>
        <w:rPr>
          <w:rFonts w:ascii="Times New Roman" w:hAnsi="Times New Roman" w:cs="Times New Roman"/>
          <w:b/>
          <w:sz w:val="20"/>
          <w:szCs w:val="20"/>
        </w:rPr>
      </w:pPr>
      <w:r>
        <w:rPr>
          <w:rFonts w:ascii="Times New Roman" w:hAnsi="Times New Roman" w:cs="Times New Roman"/>
          <w:b/>
          <w:sz w:val="20"/>
          <w:szCs w:val="20"/>
        </w:rPr>
        <w:t>Дальнейшие представления сторон</w:t>
      </w:r>
    </w:p>
    <w:p w:rsidR="004A1F7E" w:rsidRDefault="008908BF">
      <w:pPr>
        <w:ind w:left="1134"/>
        <w:jc w:val="both"/>
        <w:rPr>
          <w:rFonts w:ascii="Times New Roman" w:hAnsi="Times New Roman" w:cs="Times New Roman"/>
          <w:i/>
          <w:sz w:val="20"/>
          <w:szCs w:val="20"/>
        </w:rPr>
      </w:pPr>
      <w:r>
        <w:rPr>
          <w:rFonts w:ascii="Times New Roman" w:hAnsi="Times New Roman" w:cs="Times New Roman"/>
          <w:i/>
          <w:sz w:val="20"/>
          <w:szCs w:val="20"/>
        </w:rPr>
        <w:t>Государство-участник</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lastRenderedPageBreak/>
        <w:t>6. В вербальной ноте от 30 июля 2015 года государство-участник заявило, что у него нет дальнейших замечаний, и сослалось на свое первоначальное представление. Он вновь заявляет, что никакого нарушения</w:t>
      </w:r>
      <w:r>
        <w:rPr>
          <w:rFonts w:ascii="Times New Roman" w:hAnsi="Times New Roman" w:cs="Times New Roman"/>
          <w:sz w:val="20"/>
          <w:szCs w:val="20"/>
        </w:rPr>
        <w:t xml:space="preserve"> прав автора не произошло, и утверждает, что данное дело должно быть объявлено неприемлемым.</w:t>
      </w:r>
    </w:p>
    <w:p w:rsidR="004A1F7E" w:rsidRDefault="008908BF">
      <w:pPr>
        <w:ind w:left="1134"/>
        <w:jc w:val="both"/>
        <w:rPr>
          <w:rFonts w:ascii="Times New Roman" w:hAnsi="Times New Roman" w:cs="Times New Roman"/>
          <w:i/>
          <w:sz w:val="20"/>
          <w:szCs w:val="20"/>
        </w:rPr>
      </w:pPr>
      <w:r>
        <w:rPr>
          <w:rFonts w:ascii="Times New Roman" w:hAnsi="Times New Roman" w:cs="Times New Roman"/>
          <w:i/>
          <w:sz w:val="20"/>
          <w:szCs w:val="20"/>
        </w:rPr>
        <w:t>Автор</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7.1 Автор представил дополнительные комментарии в письме от 14 сентября 2015 года. Он отмечает, что после представления его дела в Комитет в июле и августе 2</w:t>
      </w:r>
      <w:r>
        <w:rPr>
          <w:rFonts w:ascii="Times New Roman" w:hAnsi="Times New Roman" w:cs="Times New Roman"/>
          <w:sz w:val="20"/>
          <w:szCs w:val="20"/>
        </w:rPr>
        <w:t>015 года он был подвергнут административному аресту на 15 и 20 суток соответственно за проведение других несанкционированных собраний.</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7.2 Автор отмечает, в частности, что тот факт, что положение со свободой собраний в государстве-участнике является весьма</w:t>
      </w:r>
      <w:r>
        <w:rPr>
          <w:rFonts w:ascii="Times New Roman" w:hAnsi="Times New Roman" w:cs="Times New Roman"/>
          <w:sz w:val="20"/>
          <w:szCs w:val="20"/>
        </w:rPr>
        <w:t xml:space="preserve"> плачевным, был зафиксирован во время визита Специального докладчика ООН по вопросу о правах на свободу мирных собраний и ассоциаций в 2015 году. Специальный докладчик отметил, в частности, что, хотя Конституция гарантирует право на мирные собрания, подход</w:t>
      </w:r>
      <w:r>
        <w:rPr>
          <w:rFonts w:ascii="Times New Roman" w:hAnsi="Times New Roman" w:cs="Times New Roman"/>
          <w:sz w:val="20"/>
          <w:szCs w:val="20"/>
        </w:rPr>
        <w:t xml:space="preserve"> властей к регулированию свободы ассоциации лишает это право смысла. В соответствии с законом об организации и проведении мирных собраний организаторы митинга должны получить разрешение от местных властей не позднее десяти дней со дня планируемого мероприя</w:t>
      </w:r>
      <w:r>
        <w:rPr>
          <w:rFonts w:ascii="Times New Roman" w:hAnsi="Times New Roman" w:cs="Times New Roman"/>
          <w:sz w:val="20"/>
          <w:szCs w:val="20"/>
        </w:rPr>
        <w:t>тия.</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7.3 Кроме того, запрет на проведение мирных собраний во всех местах, за исключением постоянного места проведения собраний, представляет собой, по мнению автора, нарушение международного права прав человека.</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7.4 Автор далее отмечает, что власти признал</w:t>
      </w:r>
      <w:r>
        <w:rPr>
          <w:rFonts w:ascii="Times New Roman" w:hAnsi="Times New Roman" w:cs="Times New Roman"/>
          <w:sz w:val="20"/>
          <w:szCs w:val="20"/>
        </w:rPr>
        <w:t>и, что положения Закона о массовых мероприятиях противоречат международному праву. В 2007 году Комиссия по правам человека, являющаяся консультативным органом при Президенте, пришла к выводу, что Закон об организации и проведении массовых мероприятий не со</w:t>
      </w:r>
      <w:r>
        <w:rPr>
          <w:rFonts w:ascii="Times New Roman" w:hAnsi="Times New Roman" w:cs="Times New Roman"/>
          <w:sz w:val="20"/>
          <w:szCs w:val="20"/>
        </w:rPr>
        <w:t>ответствует международным стандартам. В 2010 году в рамках Универсального периодического обзора Казахстан согласился принять новый, менее ограничительный закон о массовых мероприятиях. Это было подтверждено властями на заседании УПО 2014 года.</w:t>
      </w:r>
    </w:p>
    <w:p w:rsidR="004A1F7E" w:rsidRDefault="008908BF">
      <w:pPr>
        <w:ind w:left="1134"/>
        <w:jc w:val="both"/>
        <w:rPr>
          <w:rFonts w:ascii="Times New Roman" w:hAnsi="Times New Roman" w:cs="Times New Roman"/>
          <w:i/>
          <w:sz w:val="20"/>
          <w:szCs w:val="20"/>
        </w:rPr>
      </w:pPr>
      <w:r>
        <w:rPr>
          <w:rFonts w:ascii="Times New Roman" w:hAnsi="Times New Roman" w:cs="Times New Roman"/>
          <w:i/>
          <w:sz w:val="20"/>
          <w:szCs w:val="20"/>
        </w:rPr>
        <w:t>Государство-</w:t>
      </w:r>
      <w:r>
        <w:rPr>
          <w:rFonts w:ascii="Times New Roman" w:hAnsi="Times New Roman" w:cs="Times New Roman"/>
          <w:i/>
          <w:sz w:val="20"/>
          <w:szCs w:val="20"/>
        </w:rPr>
        <w:t>участник</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8. В вербальной ноте от 4 декабря 2015 года государство-участник отметило, что у него нет дальнейших замечаний. Он вновь подтверждает свою прежнюю позицию и подчеркивает, что данное сообщение является неприемлемым.</w:t>
      </w:r>
    </w:p>
    <w:p w:rsidR="004A1F7E" w:rsidRDefault="008908BF">
      <w:pPr>
        <w:ind w:left="1134"/>
        <w:jc w:val="both"/>
        <w:rPr>
          <w:rFonts w:ascii="Times New Roman" w:hAnsi="Times New Roman" w:cs="Times New Roman"/>
          <w:i/>
          <w:sz w:val="20"/>
          <w:szCs w:val="20"/>
        </w:rPr>
      </w:pPr>
      <w:r>
        <w:rPr>
          <w:rFonts w:ascii="Times New Roman" w:hAnsi="Times New Roman" w:cs="Times New Roman"/>
          <w:i/>
          <w:sz w:val="20"/>
          <w:szCs w:val="20"/>
        </w:rPr>
        <w:t>Автор</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 xml:space="preserve">9. В письме от 31 января </w:t>
      </w:r>
      <w:r>
        <w:rPr>
          <w:rFonts w:ascii="Times New Roman" w:hAnsi="Times New Roman" w:cs="Times New Roman"/>
          <w:sz w:val="20"/>
          <w:szCs w:val="20"/>
        </w:rPr>
        <w:t>2016 года автор повторяет свои предыдущие замечания.</w:t>
      </w:r>
    </w:p>
    <w:p w:rsidR="004A1F7E" w:rsidRDefault="008908BF">
      <w:pPr>
        <w:ind w:left="1134"/>
        <w:jc w:val="both"/>
        <w:rPr>
          <w:rFonts w:ascii="Times New Roman" w:hAnsi="Times New Roman" w:cs="Times New Roman"/>
          <w:b/>
          <w:sz w:val="20"/>
          <w:szCs w:val="20"/>
        </w:rPr>
      </w:pPr>
      <w:r>
        <w:rPr>
          <w:rFonts w:ascii="Times New Roman" w:hAnsi="Times New Roman" w:cs="Times New Roman"/>
          <w:b/>
          <w:sz w:val="20"/>
          <w:szCs w:val="20"/>
        </w:rPr>
        <w:t>Вопросы и процедуры, рассматриваемые Комитетом</w:t>
      </w:r>
    </w:p>
    <w:p w:rsidR="004A1F7E" w:rsidRDefault="008908BF">
      <w:pPr>
        <w:ind w:left="1134"/>
        <w:jc w:val="both"/>
        <w:rPr>
          <w:rFonts w:ascii="Times New Roman" w:hAnsi="Times New Roman" w:cs="Times New Roman"/>
          <w:i/>
          <w:sz w:val="20"/>
          <w:szCs w:val="20"/>
        </w:rPr>
      </w:pPr>
      <w:r>
        <w:rPr>
          <w:rFonts w:ascii="Times New Roman" w:hAnsi="Times New Roman" w:cs="Times New Roman"/>
          <w:i/>
          <w:sz w:val="20"/>
          <w:szCs w:val="20"/>
        </w:rPr>
        <w:t>Рассмотрение вопроса о приемлемости</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10.1 Прежде чем рассматривать любую претензию, содержащуюся в сообщении, Комитет должен в соответствии с правилом 97 сво</w:t>
      </w:r>
      <w:r>
        <w:rPr>
          <w:rFonts w:ascii="Times New Roman" w:hAnsi="Times New Roman" w:cs="Times New Roman"/>
          <w:sz w:val="20"/>
          <w:szCs w:val="20"/>
        </w:rPr>
        <w:t>их правил процедуры принять решение о том, является ли данное сообщение приемлемым в соответствии с Факультативным протоколом.</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10.2 В соответствии с требованиями пункта 2 а) статьи 5 Факультативного протокола Комитет удостоверился в том, что этот же вопрос</w:t>
      </w:r>
      <w:r>
        <w:rPr>
          <w:rFonts w:ascii="Times New Roman" w:hAnsi="Times New Roman" w:cs="Times New Roman"/>
          <w:sz w:val="20"/>
          <w:szCs w:val="20"/>
        </w:rPr>
        <w:t xml:space="preserve"> не рассматривается в </w:t>
      </w:r>
      <w:r>
        <w:rPr>
          <w:rFonts w:ascii="Times New Roman" w:hAnsi="Times New Roman" w:cs="Times New Roman"/>
          <w:sz w:val="20"/>
          <w:szCs w:val="20"/>
        </w:rPr>
        <w:lastRenderedPageBreak/>
        <w:t>соответствии с другой процедурой международного расследования или урегулирования.</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10.3 Комитет отмечает, что государство-участник оспаривает приемлемость сообщения, поскольку автор не обращался непосредственно к Генеральному прокурору</w:t>
      </w:r>
      <w:r>
        <w:rPr>
          <w:rFonts w:ascii="Times New Roman" w:hAnsi="Times New Roman" w:cs="Times New Roman"/>
          <w:sz w:val="20"/>
          <w:szCs w:val="20"/>
        </w:rPr>
        <w:t xml:space="preserve"> в рамках надзорного производства в Верховном суде в связи с отказом его заместителя ходатайствовать о пересмотре дела. В этой связи Комитет принимает к сведению утверждение автора о том, что 20 ноября 2013 года он обратился в Прокуратуру Алматы, а затем в</w:t>
      </w:r>
      <w:r>
        <w:rPr>
          <w:rFonts w:ascii="Times New Roman" w:hAnsi="Times New Roman" w:cs="Times New Roman"/>
          <w:sz w:val="20"/>
          <w:szCs w:val="20"/>
        </w:rPr>
        <w:t xml:space="preserve"> Генеральную прокуратуру в рамках надзорного производства. Первая апелляция была отклонена Прокуратурой Алматы, а вторая-заместителем Генерального прокурора. В этой связи Комитет далее ссылается на свою правовую практику, согласно которой ходатайство о пер</w:t>
      </w:r>
      <w:r>
        <w:rPr>
          <w:rFonts w:ascii="Times New Roman" w:hAnsi="Times New Roman" w:cs="Times New Roman"/>
          <w:sz w:val="20"/>
          <w:szCs w:val="20"/>
        </w:rPr>
        <w:t>есмотре в порядке надзора в прокуратуру, зависящее от дискреционных полномочий прокурора, с просьбой о пересмотре вступивших в силу судебных решений не является средством правовой защиты, которое должно быть исчерпано для целей пункта 2 b) статьи 5 Факульт</w:t>
      </w:r>
      <w:r>
        <w:rPr>
          <w:rFonts w:ascii="Times New Roman" w:hAnsi="Times New Roman" w:cs="Times New Roman"/>
          <w:sz w:val="20"/>
          <w:szCs w:val="20"/>
        </w:rPr>
        <w:t>ативного протокола5.Соответственно, в данных обстоятельствах Комитет считает, что статья 5 (2) b) Факультативного Протокола не препятствует рассмотрению настоящего сообщения.</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10.4 Автор просто заявил о нарушении его прав в соответствии со статьями 14 Пакта</w:t>
      </w:r>
      <w:r>
        <w:rPr>
          <w:rFonts w:ascii="Times New Roman" w:hAnsi="Times New Roman" w:cs="Times New Roman"/>
          <w:sz w:val="20"/>
          <w:szCs w:val="20"/>
        </w:rPr>
        <w:t>. Он утверждает, в частности, что: а) не был уведомлен о дате подачи апелляции; б) председательствующий судья не принял во внимание тот факт, что его вина так и не была установлена; в) свидетели не были допрошены; в) с ним обращались как с правонарушителем</w:t>
      </w:r>
      <w:r>
        <w:rPr>
          <w:rFonts w:ascii="Times New Roman" w:hAnsi="Times New Roman" w:cs="Times New Roman"/>
          <w:sz w:val="20"/>
          <w:szCs w:val="20"/>
        </w:rPr>
        <w:t xml:space="preserve"> с самого начала судебного разбирательства и г) ему не был назначен адвокат. Вместе с тем Комитет отмечает представление государства-участника о том, что утверждения автора о нарушении гарантий справедливого судебного разбирательства были рассмотрены в суд</w:t>
      </w:r>
      <w:r>
        <w:rPr>
          <w:rFonts w:ascii="Times New Roman" w:hAnsi="Times New Roman" w:cs="Times New Roman"/>
          <w:sz w:val="20"/>
          <w:szCs w:val="20"/>
        </w:rPr>
        <w:t>е и признаны необоснованными, что его вина была полностью установлена на основании протокола об административном правонарушении, показаний автора, показаний свидетелей и других имеющихся в деле доказательств и что автор был должным образом уведомлен о дате</w:t>
      </w:r>
      <w:r>
        <w:rPr>
          <w:rFonts w:ascii="Times New Roman" w:hAnsi="Times New Roman" w:cs="Times New Roman"/>
          <w:sz w:val="20"/>
          <w:szCs w:val="20"/>
        </w:rPr>
        <w:t xml:space="preserve"> подачи апелляции. Однако в отсутствие какой-либо дополнительной информации или других подробностей в поддержку этих утверждений и в свете объяснений государства-участника Комитет считает, что автор не смог в достаточной степени обосновать эту часть своих </w:t>
      </w:r>
      <w:r>
        <w:rPr>
          <w:rFonts w:ascii="Times New Roman" w:hAnsi="Times New Roman" w:cs="Times New Roman"/>
          <w:sz w:val="20"/>
          <w:szCs w:val="20"/>
        </w:rPr>
        <w:t>утверждений для целей приемлемости. Соответственно, эта часть сообщения является неприемлемой в соответствии со статьей 2 Факультативного протокола.</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10.5 Комитет считает, что автор достаточно обосновал свою жалобу в соответствии со статьями 19 и 21 Пакта д</w:t>
      </w:r>
      <w:r>
        <w:rPr>
          <w:rFonts w:ascii="Times New Roman" w:hAnsi="Times New Roman" w:cs="Times New Roman"/>
          <w:sz w:val="20"/>
          <w:szCs w:val="20"/>
        </w:rPr>
        <w:t>ля целей приемлемости. Поэтому он объявляет их приемлемыми и приступает к рассмотрению по существу.</w:t>
      </w:r>
    </w:p>
    <w:p w:rsidR="004A1F7E" w:rsidRDefault="008908BF">
      <w:pPr>
        <w:ind w:left="1134"/>
        <w:jc w:val="both"/>
        <w:rPr>
          <w:rFonts w:ascii="Times New Roman" w:hAnsi="Times New Roman" w:cs="Times New Roman"/>
          <w:b/>
          <w:sz w:val="20"/>
          <w:szCs w:val="20"/>
        </w:rPr>
      </w:pPr>
      <w:r>
        <w:rPr>
          <w:rFonts w:ascii="Times New Roman" w:hAnsi="Times New Roman" w:cs="Times New Roman"/>
          <w:b/>
          <w:sz w:val="20"/>
          <w:szCs w:val="20"/>
        </w:rPr>
        <w:t>Рассмотрение дела по существу</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11.1 Комитет рассмотрел настоящее сообщение в свете всей информации, представленной ему сторонами, как это предусмотрено в пун</w:t>
      </w:r>
      <w:r>
        <w:rPr>
          <w:rFonts w:ascii="Times New Roman" w:hAnsi="Times New Roman" w:cs="Times New Roman"/>
          <w:sz w:val="20"/>
          <w:szCs w:val="20"/>
        </w:rPr>
        <w:t>кте 1 статьи 5 Факультативного протокола.</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11.2 Во-первых, Комитет отмечает утверждения автора о том, что его право на свободу собраний, защищаемое статьей 21 Пакта, было нарушено наложением на него штрафа за содействие в передаче петиции протеста в Отделен</w:t>
      </w:r>
      <w:r>
        <w:rPr>
          <w:rFonts w:ascii="Times New Roman" w:hAnsi="Times New Roman" w:cs="Times New Roman"/>
          <w:sz w:val="20"/>
          <w:szCs w:val="20"/>
        </w:rPr>
        <w:t>ие ООН в Алматы 30 сентября 2013 года и что ни полиция, ни суды не предприняли попыток обосновать ограничения, наложенные на его права, исходя из каких-либо законных целей, предусмотренных вторым предложением статьи 21 Пакта.</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lastRenderedPageBreak/>
        <w:t>11.3 Комитет напоминает, что п</w:t>
      </w:r>
      <w:r>
        <w:rPr>
          <w:rFonts w:ascii="Times New Roman" w:hAnsi="Times New Roman" w:cs="Times New Roman"/>
          <w:sz w:val="20"/>
          <w:szCs w:val="20"/>
        </w:rPr>
        <w:t xml:space="preserve">раво на мирные собрания является одним из основных прав человека, которое имеет важное значение для публичного выражения своих взглядов и мнений и является незаменимым в демократическом обществе.6. Право на мирные собрания предполагает возможность участия </w:t>
      </w:r>
      <w:r>
        <w:rPr>
          <w:rFonts w:ascii="Times New Roman" w:hAnsi="Times New Roman" w:cs="Times New Roman"/>
          <w:sz w:val="20"/>
          <w:szCs w:val="20"/>
        </w:rPr>
        <w:t>в мирном собрании с намерением поддержать или не одобрить то или иное конкретное дело. Основополагающее право человека на мирные собрания позволяет людям выражать себя коллективно и участвовать в формировании своего общества. Право на мирные собрания важно</w:t>
      </w:r>
      <w:r>
        <w:rPr>
          <w:rFonts w:ascii="Times New Roman" w:hAnsi="Times New Roman" w:cs="Times New Roman"/>
          <w:sz w:val="20"/>
          <w:szCs w:val="20"/>
        </w:rPr>
        <w:t xml:space="preserve"> само по себе, поскольку оно защищает способность людей осуществлять индивидуальную автономию в солидарности с другими. Вместе с другими смежными правами оно также составляет саму основу системы партисипативного управления, основанного на демократии, права</w:t>
      </w:r>
      <w:r>
        <w:rPr>
          <w:rFonts w:ascii="Times New Roman" w:hAnsi="Times New Roman" w:cs="Times New Roman"/>
          <w:sz w:val="20"/>
          <w:szCs w:val="20"/>
        </w:rPr>
        <w:t>х человека, верховенстве права и плюрализме.7 Ограничение этого права допустимо только в том случае, если оно соответствует закону и необходимо в демократическом обществе, в интересах национальной безопасности или общественной безопасности, общественного п</w:t>
      </w:r>
      <w:r>
        <w:rPr>
          <w:rFonts w:ascii="Times New Roman" w:hAnsi="Times New Roman" w:cs="Times New Roman"/>
          <w:sz w:val="20"/>
          <w:szCs w:val="20"/>
        </w:rPr>
        <w:t>орядка, охраны здоровья или нравственности населения или защиты прав и свобод других лиц.</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11.4 Комитет напоминает, что, хотя право на мирные собрания в некоторых случаях может быть ограничено, ответственность за оправдание любых ограничений лежит на властя</w:t>
      </w:r>
      <w:r>
        <w:rPr>
          <w:rFonts w:ascii="Times New Roman" w:hAnsi="Times New Roman" w:cs="Times New Roman"/>
          <w:sz w:val="20"/>
          <w:szCs w:val="20"/>
        </w:rPr>
        <w:t>х.8. Органы власти должны быть в состоянии доказать, что любые ограничения отвечают требованию законности, а также являются необходимыми и соразмерными по крайней мере одному из допустимых оснований для ограничений, перечисленных в статье 21, как это обсуж</w:t>
      </w:r>
      <w:r>
        <w:rPr>
          <w:rFonts w:ascii="Times New Roman" w:hAnsi="Times New Roman" w:cs="Times New Roman"/>
          <w:sz w:val="20"/>
          <w:szCs w:val="20"/>
        </w:rPr>
        <w:t>дается ниже. Если это обязательство не выполняется, нарушается статья 21.9.Введение любых ограничений должно основываться на цели содействия осуществлению права, а не на стремлении к ненужным и несоразмерным ограничениям его права10.</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11.5 Комитет напоминае</w:t>
      </w:r>
      <w:r>
        <w:rPr>
          <w:rFonts w:ascii="Times New Roman" w:hAnsi="Times New Roman" w:cs="Times New Roman"/>
          <w:sz w:val="20"/>
          <w:szCs w:val="20"/>
        </w:rPr>
        <w:t>т далее, что в соответствии со статьей 21 любые ограничения должны быть “необходимы в демократическом обществе”. Они также должны быть наименее навязчивыми среди мер, которые могли бы выполнять соответствующую защитную функцию.11 Кроме того, они должны быт</w:t>
      </w:r>
      <w:r>
        <w:rPr>
          <w:rFonts w:ascii="Times New Roman" w:hAnsi="Times New Roman" w:cs="Times New Roman"/>
          <w:sz w:val="20"/>
          <w:szCs w:val="20"/>
        </w:rPr>
        <w:t>ь соразмерными, что требует стоимостной оценки, взвешивания характера и пагубного воздействия вмешательства на осуществление права в сравнении с вытекающей выгодой для одного из оснований вмешательства.12.Если ущерб превышает выгоду, то ограничение являетс</w:t>
      </w:r>
      <w:r>
        <w:rPr>
          <w:rFonts w:ascii="Times New Roman" w:hAnsi="Times New Roman" w:cs="Times New Roman"/>
          <w:sz w:val="20"/>
          <w:szCs w:val="20"/>
        </w:rPr>
        <w:t>я несоразмерным и, следовательно, недопустимым.</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11.6 Комитет далее отмечает, что, когда государство налагает ограничение на права, гарантируемые Пактом, оно обязано доказать, что это ограничение было необходимо в рассматриваемом деле. Любые ограничения пра</w:t>
      </w:r>
      <w:r>
        <w:rPr>
          <w:rFonts w:ascii="Times New Roman" w:hAnsi="Times New Roman" w:cs="Times New Roman"/>
          <w:sz w:val="20"/>
          <w:szCs w:val="20"/>
        </w:rPr>
        <w:t>в, предусмотренные статьей 21 Пакта, должны соответствовать строгим критериям необходимости и соразмерности и применяться только для тех целей, для которых они были предписаны, и должны быть непосредственно связаны с конкретной потребностью, на которой они</w:t>
      </w:r>
      <w:r>
        <w:rPr>
          <w:rFonts w:ascii="Times New Roman" w:hAnsi="Times New Roman" w:cs="Times New Roman"/>
          <w:sz w:val="20"/>
          <w:szCs w:val="20"/>
        </w:rPr>
        <w:t xml:space="preserve"> основаны.14</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11.7 Прежде всего Комитет принимает к сведению аргумент государства-участника о том, что проведение спонтанных, несанкционированных действий в неподходящих местах, где наблюдается большой объем движения или где выражение мнения, как в данном с</w:t>
      </w:r>
      <w:r>
        <w:rPr>
          <w:rFonts w:ascii="Times New Roman" w:hAnsi="Times New Roman" w:cs="Times New Roman"/>
          <w:sz w:val="20"/>
          <w:szCs w:val="20"/>
        </w:rPr>
        <w:t>лучае, может спровоцировать насильственную реакцию со стороны других членов общества и потенциально может нарушить спокойствие и безопасность окружающей среды и нормальное функционирование транспортных и инфраструктурных объектов. В этой связи Комитет отме</w:t>
      </w:r>
      <w:r>
        <w:rPr>
          <w:rFonts w:ascii="Times New Roman" w:hAnsi="Times New Roman" w:cs="Times New Roman"/>
          <w:sz w:val="20"/>
          <w:szCs w:val="20"/>
        </w:rPr>
        <w:t xml:space="preserve">чает, что возможность того, что мирное собрание может вызвать негативную или даже насильственную реакцию со стороны некоторых представителей общественности, не является достаточным основанием для запрещения или ограничения </w:t>
      </w:r>
      <w:r>
        <w:rPr>
          <w:rFonts w:ascii="Times New Roman" w:hAnsi="Times New Roman" w:cs="Times New Roman"/>
          <w:sz w:val="20"/>
          <w:szCs w:val="20"/>
        </w:rPr>
        <w:lastRenderedPageBreak/>
        <w:t>проведения собрания.15 Государств</w:t>
      </w:r>
      <w:r>
        <w:rPr>
          <w:rFonts w:ascii="Times New Roman" w:hAnsi="Times New Roman" w:cs="Times New Roman"/>
          <w:sz w:val="20"/>
          <w:szCs w:val="20"/>
        </w:rPr>
        <w:t>а обязаны принимать все разумные меры, которые не налагают на них несоразмерного бремени, для защиты всех участников и обеспечения бесперебойного проведения таких собраний.16</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11.8 Комитет далее отмечает, что ни государство-участник, ни национальные суды не</w:t>
      </w:r>
      <w:r>
        <w:rPr>
          <w:rFonts w:ascii="Times New Roman" w:hAnsi="Times New Roman" w:cs="Times New Roman"/>
          <w:sz w:val="20"/>
          <w:szCs w:val="20"/>
        </w:rPr>
        <w:t xml:space="preserve"> ссылались на какие-либо конкретные основания, как того требует второе предложение статьи 21 Пакта, для обоснования необходимости ограничений, введенных в отношении автора.17 В частности, государство-участник не объяснило, почему в обстоятельствах данного </w:t>
      </w:r>
      <w:r>
        <w:rPr>
          <w:rFonts w:ascii="Times New Roman" w:hAnsi="Times New Roman" w:cs="Times New Roman"/>
          <w:sz w:val="20"/>
          <w:szCs w:val="20"/>
        </w:rPr>
        <w:t>дела получение официального предварительного разрешения от местных властей до передачи петиции вместе с 5-6 другими лицами было необходимо для защиты национальной безопасности, общественного порядка, здоровья населения или нравственности, или за уважение п</w:t>
      </w:r>
      <w:r>
        <w:rPr>
          <w:rFonts w:ascii="Times New Roman" w:hAnsi="Times New Roman" w:cs="Times New Roman"/>
          <w:sz w:val="20"/>
          <w:szCs w:val="20"/>
        </w:rPr>
        <w:t>рав или репутации других. В этой связи Комитет отмечает, что необходимость обращаться за разрешением к властям подрывает идею о том, что мирные собрания являются одним из основных прав.18. Системы уведомления, предполагающие, что лица, намеревающиеся орган</w:t>
      </w:r>
      <w:r>
        <w:rPr>
          <w:rFonts w:ascii="Times New Roman" w:hAnsi="Times New Roman" w:cs="Times New Roman"/>
          <w:sz w:val="20"/>
          <w:szCs w:val="20"/>
        </w:rPr>
        <w:t>изовать мирное собрание, должны заранее информировать власти и предоставлять определенные существенные детали, допустимы в той мере, в какой это необходимо для оказания помощи властям в содействии беспрепятственному проведению мирных собраний и защите прав</w:t>
      </w:r>
      <w:r>
        <w:rPr>
          <w:rFonts w:ascii="Times New Roman" w:hAnsi="Times New Roman" w:cs="Times New Roman"/>
          <w:sz w:val="20"/>
          <w:szCs w:val="20"/>
        </w:rPr>
        <w:t xml:space="preserve"> других лиц.19 Государство-участник также не продемонстрировало, что эта мера была сохранена, т. е., признание автора виновным и наложение на него штрафа в соответствии с пунктом 1 статьи 373 Кодекса об административных правонарушениях было наименее навязч</w:t>
      </w:r>
      <w:r>
        <w:rPr>
          <w:rFonts w:ascii="Times New Roman" w:hAnsi="Times New Roman" w:cs="Times New Roman"/>
          <w:sz w:val="20"/>
          <w:szCs w:val="20"/>
        </w:rPr>
        <w:t>ивым по своему характеру или соразмерным интересам, которые оно стремилось защитить.20 Комитет считает, что в обстоятельствах настоящего дела ограничения, наложенные на автора, не были доказаны как оправданные законной целью или необходимые и соразмерные л</w:t>
      </w:r>
      <w:r>
        <w:rPr>
          <w:rFonts w:ascii="Times New Roman" w:hAnsi="Times New Roman" w:cs="Times New Roman"/>
          <w:sz w:val="20"/>
          <w:szCs w:val="20"/>
        </w:rPr>
        <w:t>юбой такой цели в соответствии с условиями, изложенными во втором предложении статьи 21 Пакта. Поэтому он приходит к выводу о том, что права автора, предусмотренные статьей 21 Пакта, были нарушены.</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11.9 Комитет далее принимает к сведению утверждение автора</w:t>
      </w:r>
      <w:r>
        <w:rPr>
          <w:rFonts w:ascii="Times New Roman" w:hAnsi="Times New Roman" w:cs="Times New Roman"/>
          <w:sz w:val="20"/>
          <w:szCs w:val="20"/>
        </w:rPr>
        <w:t xml:space="preserve"> о том, что его право на свободу выражения мнений в соответствии со статьей 19 Пакта было нарушено. Поэтому Комитет должен принять решение о том, допускаются ли ограничения, налагаемые на автора, в соответствии с одним из допустимых ограничений, предусмотр</w:t>
      </w:r>
      <w:r>
        <w:rPr>
          <w:rFonts w:ascii="Times New Roman" w:hAnsi="Times New Roman" w:cs="Times New Roman"/>
          <w:sz w:val="20"/>
          <w:szCs w:val="20"/>
        </w:rPr>
        <w:t>енных в пункте 3 статьи 19 Пакта.</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 xml:space="preserve">11.10 Комитет отмечает, что наложение санкций на автора за выражение его взглядов путем участия в подаче петиции протеста нарушает его право на распространение информации и идей любого рода, охраняемое пунктом 2 статьи 19 </w:t>
      </w:r>
      <w:r>
        <w:rPr>
          <w:rFonts w:ascii="Times New Roman" w:hAnsi="Times New Roman" w:cs="Times New Roman"/>
          <w:sz w:val="20"/>
          <w:szCs w:val="20"/>
        </w:rPr>
        <w:t>Пакта. Он напоминает, что пункт 3 статьи 19 Пакта допускает определенные ограничения, но только в том случае, если они предусмотрены законом и необходимы для защиты прав или репутации других лиц или для защиты национальной безопасности, общественного поряд</w:t>
      </w:r>
      <w:r>
        <w:rPr>
          <w:rFonts w:ascii="Times New Roman" w:hAnsi="Times New Roman" w:cs="Times New Roman"/>
          <w:sz w:val="20"/>
          <w:szCs w:val="20"/>
        </w:rPr>
        <w:t>ка, здоровья или нравственности населения. В своем общем замечании Нет. 34 (2011) в отношении свободы мнений и их выражения Комитет заявил, что эти свободы являются необходимыми условиями для полного развития личности и имеют существенное значение для любо</w:t>
      </w:r>
      <w:r>
        <w:rPr>
          <w:rFonts w:ascii="Times New Roman" w:hAnsi="Times New Roman" w:cs="Times New Roman"/>
          <w:sz w:val="20"/>
          <w:szCs w:val="20"/>
        </w:rPr>
        <w:t>го общества. Эти свободы составляют краеугольный камень любого свободного и демократического общества. Любое ограничение осуществления этих свобод должно соответствовать строгим критериям необходимости и соразмерности. Ограничения должны применяться только</w:t>
      </w:r>
      <w:r>
        <w:rPr>
          <w:rFonts w:ascii="Times New Roman" w:hAnsi="Times New Roman" w:cs="Times New Roman"/>
          <w:sz w:val="20"/>
          <w:szCs w:val="20"/>
        </w:rPr>
        <w:t xml:space="preserve"> для тех целей, для которых они были предписаны, и должны быть непосредственно связаны с конкретной потребностью, на которой они основывались. Комитет напоминает, что государство-участник должно продемонстрировать, что </w:t>
      </w:r>
      <w:r>
        <w:rPr>
          <w:rFonts w:ascii="Times New Roman" w:hAnsi="Times New Roman" w:cs="Times New Roman"/>
          <w:sz w:val="20"/>
          <w:szCs w:val="20"/>
        </w:rPr>
        <w:lastRenderedPageBreak/>
        <w:t>ограничения прав автора в соответстви</w:t>
      </w:r>
      <w:r>
        <w:rPr>
          <w:rFonts w:ascii="Times New Roman" w:hAnsi="Times New Roman" w:cs="Times New Roman"/>
          <w:sz w:val="20"/>
          <w:szCs w:val="20"/>
        </w:rPr>
        <w:t>и со статьей 19 были как необходимыми, так и соразмерными.21</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11.11 Что касается ограничения свободы выражения мнений автора, то Комитет напоминает, что политическая речь пользуется повышенным уровнем адаптации и защиты как форма выражения мнений.22 Комитет</w:t>
      </w:r>
      <w:r>
        <w:rPr>
          <w:rFonts w:ascii="Times New Roman" w:hAnsi="Times New Roman" w:cs="Times New Roman"/>
          <w:sz w:val="20"/>
          <w:szCs w:val="20"/>
        </w:rPr>
        <w:t xml:space="preserve"> принимает к сведению утверждение автора о том, что он был подвергнут санкциям за участие в передаче в отделение Организации Объединенных Наций в Алматы петиции с протестом против использования Российской Федерацией гептилового газа в качестве ракетного то</w:t>
      </w:r>
      <w:r>
        <w:rPr>
          <w:rFonts w:ascii="Times New Roman" w:hAnsi="Times New Roman" w:cs="Times New Roman"/>
          <w:sz w:val="20"/>
          <w:szCs w:val="20"/>
        </w:rPr>
        <w:t>плива на Байконуре в Казахстане. В отсутствие какой-либо соответствующей информации от государства-участника, объясняющей, каким образом введенное ограничение соответствовало положениям пункта 3 статьи 19 Пакта, Комитет приходит к выводу о том, что права а</w:t>
      </w:r>
      <w:r>
        <w:rPr>
          <w:rFonts w:ascii="Times New Roman" w:hAnsi="Times New Roman" w:cs="Times New Roman"/>
          <w:sz w:val="20"/>
          <w:szCs w:val="20"/>
        </w:rPr>
        <w:t>втора, предусмотренные пунктом 2 статьи 19 Пакта, были нарушены.</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12. Комитет, действуя в соответствии с пунктом 4 статьи 5 Факультативного протокола, считает, что представленные ему факты свидетельствуют о нарушении Казахстаном прав автора в соответствии с</w:t>
      </w:r>
      <w:r>
        <w:rPr>
          <w:rFonts w:ascii="Times New Roman" w:hAnsi="Times New Roman" w:cs="Times New Roman"/>
          <w:sz w:val="20"/>
          <w:szCs w:val="20"/>
        </w:rPr>
        <w:t>о статьями 19 и 21 Пакта.</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13. В соответствии с пунктом 3 а) статьи 2 Пакта государство-участник обязано предоставить автору эффективное средство правовой защиты. Это требует от него полного возмещения ущерба лицам, чьи права, закрепленные в Пакте, были нар</w:t>
      </w:r>
      <w:r>
        <w:rPr>
          <w:rFonts w:ascii="Times New Roman" w:hAnsi="Times New Roman" w:cs="Times New Roman"/>
          <w:sz w:val="20"/>
          <w:szCs w:val="20"/>
        </w:rPr>
        <w:t>ушены. Соответственно, государство-участник обязано, в частности, принять надлежащие меры для предоставления автору адекватной компенсации и возмещения наложенного на него штрафа и любых понесенных им судебных издержек. Государство-участник также обязано п</w:t>
      </w:r>
      <w:r>
        <w:rPr>
          <w:rFonts w:ascii="Times New Roman" w:hAnsi="Times New Roman" w:cs="Times New Roman"/>
          <w:sz w:val="20"/>
          <w:szCs w:val="20"/>
        </w:rPr>
        <w:t>редотвращать подобные нарушения в будущем. В этой связи Комитет вновь заявляет, что в соответствии со своими обязательствами по статье 2 (2) Пакта государству-участнику следует пересмотреть свое законодательство и практику в целях обеспечения того, чтобы п</w:t>
      </w:r>
      <w:r>
        <w:rPr>
          <w:rFonts w:ascii="Times New Roman" w:hAnsi="Times New Roman" w:cs="Times New Roman"/>
          <w:sz w:val="20"/>
          <w:szCs w:val="20"/>
        </w:rPr>
        <w:t>рава, предусмотренные статьями 19 и 21 Пакта, могли в полной мере осуществляться в государстве-участнике.23</w:t>
      </w:r>
    </w:p>
    <w:p w:rsidR="004A1F7E" w:rsidRDefault="008908BF">
      <w:pPr>
        <w:ind w:left="1134"/>
        <w:jc w:val="both"/>
        <w:rPr>
          <w:rFonts w:ascii="Times New Roman" w:hAnsi="Times New Roman" w:cs="Times New Roman"/>
          <w:sz w:val="20"/>
          <w:szCs w:val="20"/>
        </w:rPr>
      </w:pPr>
      <w:r>
        <w:rPr>
          <w:rFonts w:ascii="Times New Roman" w:hAnsi="Times New Roman" w:cs="Times New Roman"/>
          <w:sz w:val="20"/>
          <w:szCs w:val="20"/>
        </w:rPr>
        <w:t>14. Принимая во внимание, что, став участником Факультативного протокола, государство-участник признало компетенцию Комитета определять, имело ли ме</w:t>
      </w:r>
      <w:r>
        <w:rPr>
          <w:rFonts w:ascii="Times New Roman" w:hAnsi="Times New Roman" w:cs="Times New Roman"/>
          <w:sz w:val="20"/>
          <w:szCs w:val="20"/>
        </w:rPr>
        <w:t>сто нарушение Пакта, и что в соответствии со статьей 2 Пакта государство-участник обязалось обеспечить всем лицам, находящимся на его территории или под его юрисдикцией, права, признанные в Пакте, и обеспечить эффективное и подлежащее исполнению средство п</w:t>
      </w:r>
      <w:r>
        <w:rPr>
          <w:rFonts w:ascii="Times New Roman" w:hAnsi="Times New Roman" w:cs="Times New Roman"/>
          <w:sz w:val="20"/>
          <w:szCs w:val="20"/>
        </w:rPr>
        <w:t>равовой защиты в случае установления факта нарушения, Комитет хотел бы получить от государства-участника в течение 180 дней, информация о мерах, принятых во исполнение соображений Комитета. Государству - участнику также предлагается опубликовать Соображени</w:t>
      </w:r>
      <w:r>
        <w:rPr>
          <w:rFonts w:ascii="Times New Roman" w:hAnsi="Times New Roman" w:cs="Times New Roman"/>
          <w:sz w:val="20"/>
          <w:szCs w:val="20"/>
        </w:rPr>
        <w:t>я Комитета, перевести их на официальные языки государства-участника и обеспечить их широкое распространение.</w:t>
      </w:r>
    </w:p>
    <w:p w:rsidR="004A1F7E" w:rsidRDefault="004A1F7E">
      <w:pPr>
        <w:ind w:left="1134"/>
        <w:jc w:val="both"/>
        <w:rPr>
          <w:rFonts w:ascii="Times New Roman" w:hAnsi="Times New Roman" w:cs="Times New Roman"/>
          <w:sz w:val="20"/>
          <w:szCs w:val="20"/>
        </w:rPr>
      </w:pPr>
    </w:p>
    <w:sectPr w:rsidR="004A1F7E">
      <w:pgSz w:w="11906" w:h="16838"/>
      <w:pgMar w:top="1134" w:right="198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BF" w:rsidRDefault="008908BF">
      <w:pPr>
        <w:spacing w:after="0" w:line="240" w:lineRule="auto"/>
      </w:pPr>
      <w:r>
        <w:separator/>
      </w:r>
    </w:p>
  </w:endnote>
  <w:endnote w:type="continuationSeparator" w:id="0">
    <w:p w:rsidR="008908BF" w:rsidRDefault="0089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BF" w:rsidRDefault="008908BF">
      <w:pPr>
        <w:spacing w:after="0" w:line="240" w:lineRule="auto"/>
      </w:pPr>
      <w:r>
        <w:separator/>
      </w:r>
    </w:p>
  </w:footnote>
  <w:footnote w:type="continuationSeparator" w:id="0">
    <w:p w:rsidR="008908BF" w:rsidRDefault="008908BF">
      <w:pPr>
        <w:spacing w:after="0" w:line="240" w:lineRule="auto"/>
      </w:pPr>
      <w:r>
        <w:continuationSeparator/>
      </w:r>
    </w:p>
  </w:footnote>
  <w:footnote w:id="1">
    <w:p w:rsidR="004A1F7E" w:rsidRDefault="008908BF">
      <w:pPr>
        <w:pStyle w:val="a3"/>
        <w:rPr>
          <w:lang w:val="ru-RU"/>
        </w:rPr>
      </w:pPr>
      <w:r>
        <w:rPr>
          <w:rStyle w:val="a5"/>
        </w:rPr>
        <w:tab/>
      </w:r>
    </w:p>
  </w:footnote>
  <w:footnote w:id="2">
    <w:p w:rsidR="004A1F7E" w:rsidRDefault="004A1F7E">
      <w:pPr>
        <w:pStyle w:val="a3"/>
        <w:ind w:left="0" w:firstLine="0"/>
      </w:pPr>
    </w:p>
    <w:p w:rsidR="004A1F7E" w:rsidRDefault="004A1F7E">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7E"/>
    <w:rsid w:val="00033780"/>
    <w:rsid w:val="004A1F7E"/>
    <w:rsid w:val="00890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ChG">
    <w:name w:val="_ H _Ch_G"/>
    <w:basedOn w:val="a"/>
    <w:next w:val="a"/>
    <w:qFormat/>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styleId="a3">
    <w:name w:val="footnote text"/>
    <w:aliases w:val="5_G,Footnote Text Char Char Char Char Char,Footnote Text Char Char Char Char,Footnote reference,FA Fu,Footnote Text Char Char Char,Footnote Reference1, Char,Char,ft,Style 27,Char Char Char Char Char,Style 11, Char Char Char,Footnote Text C"/>
    <w:basedOn w:val="a"/>
    <w:link w:val="a4"/>
    <w:qFormat/>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a4">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3"/>
    <w:rPr>
      <w:rFonts w:ascii="Times New Roman" w:eastAsia="Times New Roman" w:hAnsi="Times New Roman" w:cs="Times New Roman"/>
      <w:sz w:val="18"/>
      <w:szCs w:val="20"/>
      <w:lang w:val="en-GB"/>
    </w:rPr>
  </w:style>
  <w:style w:type="character" w:styleId="a5">
    <w:name w:val="footnote reference"/>
    <w:aliases w:val="4_G,Footnote number,ftref,Footnotes refss,Style 10,referencia nota al pie,BVI fnr,Footnote text,4_Footnote text,callout,Fago Fußnotenzeichen,16 Point,Superscript 6 Point,Footnote,Footnote symbol,f,Footnote Refernece,Ref,4_,callou"/>
    <w:basedOn w:val="a0"/>
    <w:link w:val="Appelnotedebasde"/>
    <w:uiPriority w:val="99"/>
    <w:qFormat/>
    <w:rPr>
      <w:rFonts w:ascii="Times New Roman" w:hAnsi="Times New Roman"/>
      <w:sz w:val="18"/>
      <w:vertAlign w:val="superscript"/>
    </w:rPr>
  </w:style>
  <w:style w:type="paragraph" w:customStyle="1" w:styleId="H1G">
    <w:name w:val="_ H_1_G"/>
    <w:basedOn w:val="a"/>
    <w:next w:val="a"/>
    <w:qFormat/>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SingleTxtGChar">
    <w:name w:val="_ Single Txt_G Char"/>
    <w:link w:val="SingleTxtG"/>
    <w:rPr>
      <w:rFonts w:ascii="Times New Roman" w:eastAsia="Times New Roman" w:hAnsi="Times New Roman" w:cs="Times New Roman"/>
      <w:sz w:val="20"/>
      <w:szCs w:val="20"/>
      <w:lang w:val="en-GB"/>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a"/>
    <w:link w:val="a5"/>
    <w:uiPriority w:val="99"/>
    <w:pPr>
      <w:spacing w:before="120" w:after="120" w:line="240" w:lineRule="auto"/>
    </w:pPr>
    <w:rPr>
      <w:rFonts w:ascii="Times New Roman" w:hAnsi="Times New Roman"/>
      <w:sz w:val="18"/>
      <w:vertAlign w:val="superscript"/>
    </w:r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ChG">
    <w:name w:val="_ H _Ch_G"/>
    <w:basedOn w:val="a"/>
    <w:next w:val="a"/>
    <w:qFormat/>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styleId="a3">
    <w:name w:val="footnote text"/>
    <w:aliases w:val="5_G,Footnote Text Char Char Char Char Char,Footnote Text Char Char Char Char,Footnote reference,FA Fu,Footnote Text Char Char Char,Footnote Reference1, Char,Char,ft,Style 27,Char Char Char Char Char,Style 11, Char Char Char,Footnote Text C"/>
    <w:basedOn w:val="a"/>
    <w:link w:val="a4"/>
    <w:qFormat/>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a4">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3"/>
    <w:rPr>
      <w:rFonts w:ascii="Times New Roman" w:eastAsia="Times New Roman" w:hAnsi="Times New Roman" w:cs="Times New Roman"/>
      <w:sz w:val="18"/>
      <w:szCs w:val="20"/>
      <w:lang w:val="en-GB"/>
    </w:rPr>
  </w:style>
  <w:style w:type="character" w:styleId="a5">
    <w:name w:val="footnote reference"/>
    <w:aliases w:val="4_G,Footnote number,ftref,Footnotes refss,Style 10,referencia nota al pie,BVI fnr,Footnote text,4_Footnote text,callout,Fago Fußnotenzeichen,16 Point,Superscript 6 Point,Footnote,Footnote symbol,f,Footnote Refernece,Ref,4_,callou"/>
    <w:basedOn w:val="a0"/>
    <w:link w:val="Appelnotedebasde"/>
    <w:uiPriority w:val="99"/>
    <w:qFormat/>
    <w:rPr>
      <w:rFonts w:ascii="Times New Roman" w:hAnsi="Times New Roman"/>
      <w:sz w:val="18"/>
      <w:vertAlign w:val="superscript"/>
    </w:rPr>
  </w:style>
  <w:style w:type="paragraph" w:customStyle="1" w:styleId="H1G">
    <w:name w:val="_ H_1_G"/>
    <w:basedOn w:val="a"/>
    <w:next w:val="a"/>
    <w:qFormat/>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SingleTxtGChar">
    <w:name w:val="_ Single Txt_G Char"/>
    <w:link w:val="SingleTxtG"/>
    <w:rPr>
      <w:rFonts w:ascii="Times New Roman" w:eastAsia="Times New Roman" w:hAnsi="Times New Roman" w:cs="Times New Roman"/>
      <w:sz w:val="20"/>
      <w:szCs w:val="20"/>
      <w:lang w:val="en-GB"/>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a"/>
    <w:link w:val="a5"/>
    <w:uiPriority w:val="99"/>
    <w:pPr>
      <w:spacing w:before="120" w:after="120" w:line="240" w:lineRule="auto"/>
    </w:pPr>
    <w:rPr>
      <w:rFonts w:ascii="Times New Roman" w:hAnsi="Times New Roman"/>
      <w:sz w:val="18"/>
      <w:vertAlign w:val="superscript"/>
    </w:r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5935</Words>
  <Characters>33833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КОЙШИЕВА АКЛИМА БАТЫРБЕКОВНА</cp:lastModifiedBy>
  <cp:revision>2</cp:revision>
  <dcterms:created xsi:type="dcterms:W3CDTF">2021-04-01T10:56:00Z</dcterms:created>
  <dcterms:modified xsi:type="dcterms:W3CDTF">2021-04-01T10:56:00Z</dcterms:modified>
</cp:coreProperties>
</file>