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30" w:rsidRDefault="009622F6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 w:hint="cs"/>
          <w:b/>
          <w:sz w:val="28"/>
          <w:szCs w:val="28"/>
        </w:rPr>
        <w:t>Анализ</w:t>
      </w:r>
    </w:p>
    <w:p w:rsidR="00E97D30" w:rsidRDefault="009622F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 w:hint="cs"/>
          <w:b/>
          <w:sz w:val="28"/>
          <w:szCs w:val="28"/>
        </w:rPr>
        <w:t>отложений судами разбирательства гражданских дел</w:t>
      </w:r>
    </w:p>
    <w:p w:rsidR="00E97D30" w:rsidRDefault="00E97D30">
      <w:pPr>
        <w:jc w:val="both"/>
        <w:rPr>
          <w:rFonts w:ascii="Arial" w:hAnsi="Arial" w:cs="Arial"/>
          <w:sz w:val="28"/>
        </w:rPr>
      </w:pP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Во исполнение пункта 3 Плана работы Департамента по обеспечению деятельности судов при Верховном Суде на 2-ое полугодие 2016 года проанализирована практика отложения судами разбирательства гражданск</w:t>
      </w:r>
      <w:r>
        <w:rPr>
          <w:rFonts w:ascii="Arial" w:hAnsi="Arial" w:cs="Arial" w:hint="cs"/>
          <w:sz w:val="28"/>
          <w:szCs w:val="28"/>
        </w:rPr>
        <w:t>ого дела посредством изучения судебных актов базы данных ЕАИАС за 2015 год и 6 месяцев 2016 года.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Согласно ст.198 ГПК отложение разбирательства дела допускается в случаях, предусмотренных Кодексом, а также, если суд сочтет невозможным рассмотрение дела в э</w:t>
      </w:r>
      <w:r>
        <w:rPr>
          <w:rFonts w:ascii="Arial" w:hAnsi="Arial" w:cs="Arial" w:hint="cs"/>
          <w:sz w:val="28"/>
          <w:szCs w:val="28"/>
        </w:rPr>
        <w:t>том судебном заседании вследствие неявки кого-либо из участников процесса, предъявления встречного иска, необходимости представления или истребования дополнительных доказательств, привлечения к участию в деле других лиц, необходимости совершения каких-либо</w:t>
      </w:r>
      <w:r>
        <w:rPr>
          <w:rFonts w:ascii="Arial" w:hAnsi="Arial" w:cs="Arial" w:hint="cs"/>
          <w:sz w:val="28"/>
          <w:szCs w:val="28"/>
        </w:rPr>
        <w:t xml:space="preserve"> иных процессуальных действий.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b/>
          <w:sz w:val="28"/>
          <w:szCs w:val="28"/>
        </w:rPr>
        <w:t>В 2015 году</w:t>
      </w:r>
      <w:r>
        <w:rPr>
          <w:rFonts w:ascii="Arial" w:hAnsi="Arial" w:cs="Arial" w:hint="cs"/>
          <w:sz w:val="28"/>
          <w:szCs w:val="28"/>
        </w:rPr>
        <w:t xml:space="preserve"> судами республики рассмотрено 415 809 гражданских дел </w:t>
      </w:r>
      <w:r>
        <w:rPr>
          <w:rFonts w:ascii="Arial" w:hAnsi="Arial" w:cs="Arial" w:hint="cs"/>
          <w:i/>
          <w:sz w:val="28"/>
          <w:szCs w:val="28"/>
        </w:rPr>
        <w:t>(за исключением приказного, упрощенного производства)</w:t>
      </w:r>
      <w:r>
        <w:rPr>
          <w:rFonts w:ascii="Arial" w:hAnsi="Arial" w:cs="Arial" w:hint="cs"/>
          <w:sz w:val="28"/>
          <w:szCs w:val="28"/>
        </w:rPr>
        <w:t xml:space="preserve">, из них с отложением разбирательства рассмотрено 166 597 дел или </w:t>
      </w:r>
      <w:r>
        <w:rPr>
          <w:rFonts w:ascii="Arial" w:hAnsi="Arial" w:cs="Arial" w:hint="cs"/>
          <w:b/>
          <w:sz w:val="28"/>
          <w:szCs w:val="28"/>
        </w:rPr>
        <w:t>40,1%.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В общем числе оконченных граждан</w:t>
      </w:r>
      <w:r>
        <w:rPr>
          <w:rFonts w:ascii="Arial" w:hAnsi="Arial" w:cs="Arial" w:hint="cs"/>
          <w:sz w:val="28"/>
          <w:szCs w:val="28"/>
        </w:rPr>
        <w:t xml:space="preserve">ских дел доля таких дел составляет </w:t>
      </w:r>
      <w:r>
        <w:rPr>
          <w:rFonts w:ascii="Arial" w:hAnsi="Arial" w:cs="Arial" w:hint="cs"/>
          <w:b/>
          <w:sz w:val="28"/>
          <w:szCs w:val="28"/>
        </w:rPr>
        <w:t>24,5%.</w:t>
      </w:r>
      <w:r>
        <w:rPr>
          <w:rFonts w:ascii="Arial" w:hAnsi="Arial" w:cs="Arial" w:hint="cs"/>
          <w:sz w:val="28"/>
          <w:szCs w:val="28"/>
        </w:rPr>
        <w:t xml:space="preserve">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В разрезе регионов эти данные выглядят следующим образом:*</w:t>
      </w:r>
    </w:p>
    <w:p w:rsidR="00E97D30" w:rsidRDefault="009622F6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ab/>
        <w:t xml:space="preserve">Наибольшее количество дел с неоднократным отложением рассмотрено в 2015 году судами Карагандинской – 30 069 или 63,5% от общего числа всех рассмотренных </w:t>
      </w:r>
      <w:r>
        <w:rPr>
          <w:rFonts w:ascii="Arial" w:hAnsi="Arial" w:cs="Arial" w:hint="cs"/>
          <w:sz w:val="28"/>
          <w:szCs w:val="28"/>
        </w:rPr>
        <w:t>дел в области, военными судами – 956 или 55,9%, Атырауской области – 7 410 или 52,9% и судами г. Астаны – 17 579 или 50,1%.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Напротив, меньше откладывалось рассмотрение дел в судах Восточно-Казахстанской (22,2%) области и г. Алматы (23,9).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b/>
          <w:sz w:val="28"/>
          <w:szCs w:val="28"/>
        </w:rPr>
        <w:t>За 6 месяцев 2016</w:t>
      </w:r>
      <w:r>
        <w:rPr>
          <w:rFonts w:ascii="Arial" w:hAnsi="Arial" w:cs="Arial" w:hint="cs"/>
          <w:b/>
          <w:sz w:val="28"/>
          <w:szCs w:val="28"/>
        </w:rPr>
        <w:t xml:space="preserve"> года</w:t>
      </w:r>
      <w:r>
        <w:rPr>
          <w:rFonts w:ascii="Arial" w:hAnsi="Arial" w:cs="Arial" w:hint="cs"/>
          <w:sz w:val="28"/>
          <w:szCs w:val="28"/>
        </w:rPr>
        <w:t xml:space="preserve"> рассмотрено 151 756 гражданских дел </w:t>
      </w:r>
      <w:r>
        <w:rPr>
          <w:rFonts w:ascii="Arial" w:hAnsi="Arial" w:cs="Arial" w:hint="cs"/>
          <w:i/>
          <w:sz w:val="28"/>
          <w:szCs w:val="28"/>
        </w:rPr>
        <w:t>(за исключением приказного, упрощенного производства)</w:t>
      </w:r>
      <w:r>
        <w:rPr>
          <w:rFonts w:ascii="Arial" w:hAnsi="Arial" w:cs="Arial" w:hint="cs"/>
          <w:sz w:val="28"/>
          <w:szCs w:val="28"/>
        </w:rPr>
        <w:t xml:space="preserve">, из которых с отложением рассмотрено 67 060 дел или </w:t>
      </w:r>
      <w:r>
        <w:rPr>
          <w:rFonts w:ascii="Arial" w:hAnsi="Arial" w:cs="Arial" w:hint="cs"/>
          <w:b/>
          <w:sz w:val="28"/>
          <w:szCs w:val="28"/>
        </w:rPr>
        <w:t>44,2%</w:t>
      </w:r>
      <w:r>
        <w:rPr>
          <w:rFonts w:ascii="Arial" w:hAnsi="Arial" w:cs="Arial" w:hint="cs"/>
          <w:sz w:val="28"/>
          <w:szCs w:val="28"/>
        </w:rPr>
        <w:t xml:space="preserve"> от общего числа рассмотренных.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 xml:space="preserve">В общем числе оконченных гражданских дел доля таких дел составляет </w:t>
      </w:r>
      <w:r>
        <w:rPr>
          <w:rFonts w:ascii="Arial" w:hAnsi="Arial" w:cs="Arial" w:hint="cs"/>
          <w:b/>
          <w:sz w:val="28"/>
          <w:szCs w:val="28"/>
        </w:rPr>
        <w:t>19,</w:t>
      </w:r>
      <w:r>
        <w:rPr>
          <w:rFonts w:ascii="Arial" w:hAnsi="Arial" w:cs="Arial" w:hint="cs"/>
          <w:b/>
          <w:sz w:val="28"/>
          <w:szCs w:val="28"/>
        </w:rPr>
        <w:t>7%</w:t>
      </w:r>
      <w:r>
        <w:rPr>
          <w:rFonts w:ascii="Arial" w:hAnsi="Arial" w:cs="Arial" w:hint="cs"/>
          <w:sz w:val="28"/>
          <w:szCs w:val="28"/>
        </w:rPr>
        <w:t xml:space="preserve">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При этом, также как и по итогам 2015 года, наибольшее количество дел, рассмотренных с отложением разбирательства, приходится на военные суды – 301 или 61,9%, суды Карагандинской – 8 846 или 58,8%, Жамбылской областей – 3 977 или 57,2%.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Напротив, меньш</w:t>
      </w:r>
      <w:r>
        <w:rPr>
          <w:rFonts w:ascii="Arial" w:hAnsi="Arial" w:cs="Arial" w:hint="cs"/>
          <w:sz w:val="28"/>
          <w:szCs w:val="28"/>
        </w:rPr>
        <w:t>е откладывалось дел в ходе рассмотрения в судах Восточно-Казахстанской (25,7%) и Западно-Казахстанской (32,4%) областей.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В разрезе регионов эти данные выглядят следующим образом:*</w:t>
      </w:r>
    </w:p>
    <w:p w:rsidR="00E97D30" w:rsidRDefault="00E97D30">
      <w:pPr>
        <w:ind w:firstLine="708"/>
        <w:jc w:val="both"/>
        <w:rPr>
          <w:rFonts w:ascii="Arial" w:hAnsi="Arial" w:cs="Arial"/>
          <w:sz w:val="28"/>
        </w:rPr>
      </w:pP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Выборочное изучение материалов дел в базе данных ЕАИАС показало, что дела в</w:t>
      </w:r>
      <w:r>
        <w:rPr>
          <w:rFonts w:ascii="Arial" w:hAnsi="Arial" w:cs="Arial" w:hint="cs"/>
          <w:sz w:val="28"/>
          <w:szCs w:val="28"/>
        </w:rPr>
        <w:t xml:space="preserve"> ходе рассмотрения неоднократно откладываются (от 1 до </w:t>
      </w:r>
      <w:r>
        <w:rPr>
          <w:rFonts w:ascii="Arial" w:hAnsi="Arial" w:cs="Arial" w:hint="cs"/>
          <w:b/>
          <w:sz w:val="28"/>
          <w:szCs w:val="28"/>
        </w:rPr>
        <w:t>16 раз</w:t>
      </w:r>
      <w:r>
        <w:rPr>
          <w:rFonts w:ascii="Arial" w:hAnsi="Arial" w:cs="Arial" w:hint="cs"/>
          <w:sz w:val="28"/>
          <w:szCs w:val="28"/>
        </w:rPr>
        <w:t xml:space="preserve">) как по объективным, так и по субъективным причинам.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При этом, несмотря на незначительное количество рассмотренных дел, как по итогам 2015, так и за 6 месяцев 2016 года наибольшее число отложен</w:t>
      </w:r>
      <w:r>
        <w:rPr>
          <w:rFonts w:ascii="Arial" w:hAnsi="Arial" w:cs="Arial" w:hint="cs"/>
          <w:sz w:val="28"/>
          <w:szCs w:val="28"/>
        </w:rPr>
        <w:t>ий процессов приходится на военные суды. Затягивание разрешения дел наблюдается в судах Карагандинской и Атырауской областей.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Более организованы суды Восточно-Казахстанской, Южно-Казахстанской и Костанайской областей и г. Алматы, где меньше откладываются с</w:t>
      </w:r>
      <w:r>
        <w:rPr>
          <w:rFonts w:ascii="Arial" w:hAnsi="Arial" w:cs="Arial" w:hint="cs"/>
          <w:sz w:val="28"/>
          <w:szCs w:val="28"/>
        </w:rPr>
        <w:t xml:space="preserve">удебные разбирательства. </w:t>
      </w:r>
    </w:p>
    <w:p w:rsidR="00E97D30" w:rsidRDefault="009622F6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 w:hint="cs"/>
          <w:b/>
          <w:sz w:val="28"/>
          <w:szCs w:val="28"/>
        </w:rPr>
        <w:t>Примеры из практики судов</w:t>
      </w:r>
    </w:p>
    <w:p w:rsidR="00E97D30" w:rsidRDefault="009622F6">
      <w:pPr>
        <w:ind w:firstLine="708"/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 w:hint="cs"/>
          <w:b/>
          <w:sz w:val="28"/>
          <w:szCs w:val="28"/>
        </w:rPr>
        <w:t>1.</w:t>
      </w:r>
      <w:r>
        <w:rPr>
          <w:rFonts w:ascii="Arial" w:hAnsi="Arial" w:cs="Arial" w:hint="cs"/>
          <w:sz w:val="28"/>
          <w:szCs w:val="28"/>
        </w:rPr>
        <w:t xml:space="preserve"> К примеру, дело по иску ТОО «Авон Косметик (Казахстан) Лимитед» к Демесинову К.Э. о взыскании суммы долга рассмотрено с отложением судебных заседаний </w:t>
      </w:r>
      <w:r>
        <w:rPr>
          <w:rFonts w:ascii="Arial" w:hAnsi="Arial" w:cs="Arial" w:hint="cs"/>
          <w:b/>
          <w:sz w:val="28"/>
          <w:szCs w:val="28"/>
        </w:rPr>
        <w:t>16 раз</w:t>
      </w:r>
      <w:r>
        <w:rPr>
          <w:rFonts w:ascii="Arial" w:hAnsi="Arial" w:cs="Arial" w:hint="cs"/>
          <w:sz w:val="28"/>
          <w:szCs w:val="28"/>
        </w:rPr>
        <w:t xml:space="preserve"> </w:t>
      </w:r>
      <w:r>
        <w:rPr>
          <w:rFonts w:ascii="Arial" w:hAnsi="Arial" w:cs="Arial" w:hint="cs"/>
          <w:i/>
          <w:sz w:val="28"/>
          <w:szCs w:val="28"/>
        </w:rPr>
        <w:t>(Жылыойский районный суд Атырауской области,</w:t>
      </w:r>
      <w:r>
        <w:rPr>
          <w:rFonts w:ascii="Arial" w:hAnsi="Arial" w:cs="Arial" w:hint="cs"/>
          <w:i/>
          <w:sz w:val="28"/>
          <w:szCs w:val="28"/>
        </w:rPr>
        <w:t xml:space="preserve"> судья Исмагамбетова Ш.А.).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 xml:space="preserve">Дело принято к производству суда 25.09.2015г., предварительное слушание назначено на 01.10.2015г.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Определением от 01.10.2015г. дело к судебному разбирательству назначено на 12.10.2015г., однако разбирательство отложено на 20.10</w:t>
      </w:r>
      <w:r>
        <w:rPr>
          <w:rFonts w:ascii="Arial" w:hAnsi="Arial" w:cs="Arial" w:hint="cs"/>
          <w:sz w:val="28"/>
          <w:szCs w:val="28"/>
        </w:rPr>
        <w:t>.2015 г. по ходатайству представителя ответчика. Судом постановлено вызвать ответчика. Однако на следующие 2 заседания ответчик также не явился, в связи с чем, разбирательство было вновь отложено. В последующем дело было отложено 13 раз в связи с вызовом с</w:t>
      </w:r>
      <w:r>
        <w:rPr>
          <w:rFonts w:ascii="Arial" w:hAnsi="Arial" w:cs="Arial" w:hint="cs"/>
          <w:sz w:val="28"/>
          <w:szCs w:val="28"/>
        </w:rPr>
        <w:t xml:space="preserve">видетелей, сторон и сотрудников почты.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 xml:space="preserve">Таким образом, решение по данному делу вынесено лишь 24.12.2015г., то есть по истечении </w:t>
      </w:r>
      <w:r>
        <w:rPr>
          <w:rFonts w:ascii="Arial" w:hAnsi="Arial" w:cs="Arial" w:hint="cs"/>
          <w:sz w:val="28"/>
          <w:szCs w:val="28"/>
          <w:lang w:val="kk-KZ"/>
        </w:rPr>
        <w:t xml:space="preserve">почти </w:t>
      </w:r>
      <w:r>
        <w:rPr>
          <w:rFonts w:ascii="Arial" w:hAnsi="Arial" w:cs="Arial" w:hint="cs"/>
          <w:sz w:val="28"/>
          <w:szCs w:val="28"/>
        </w:rPr>
        <w:t>3-х месяцев с момента принятия в производство.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b/>
          <w:sz w:val="28"/>
          <w:szCs w:val="28"/>
        </w:rPr>
        <w:t>2.</w:t>
      </w:r>
      <w:r>
        <w:rPr>
          <w:rFonts w:ascii="Arial" w:hAnsi="Arial" w:cs="Arial" w:hint="cs"/>
          <w:sz w:val="28"/>
          <w:szCs w:val="28"/>
        </w:rPr>
        <w:t xml:space="preserve"> Исковое заявление </w:t>
      </w:r>
      <w:r>
        <w:rPr>
          <w:rFonts w:ascii="Arial" w:eastAsia="Calibri" w:hAnsi="Arial" w:cs="Arial" w:hint="cs"/>
          <w:sz w:val="28"/>
          <w:szCs w:val="28"/>
        </w:rPr>
        <w:t>Вдовцевой О.С. к Кудряшовой М.Е., Кудряшову В.Г.</w:t>
      </w:r>
      <w:r>
        <w:rPr>
          <w:rFonts w:ascii="Arial" w:eastAsia="Calibri" w:hAnsi="Arial" w:cs="Arial" w:hint="cs"/>
          <w:sz w:val="28"/>
          <w:szCs w:val="28"/>
        </w:rPr>
        <w:t xml:space="preserve"> и др. о понуждении к регистрации договора мены и о признании сделки купли-продажи действительной рассмотрено </w:t>
      </w:r>
      <w:r>
        <w:rPr>
          <w:rFonts w:ascii="Arial" w:hAnsi="Arial" w:cs="Arial" w:hint="cs"/>
          <w:b/>
          <w:sz w:val="28"/>
          <w:szCs w:val="28"/>
        </w:rPr>
        <w:t>в течение 3 месяцев</w:t>
      </w:r>
      <w:r>
        <w:rPr>
          <w:rFonts w:ascii="Arial" w:eastAsia="Calibri" w:hAnsi="Arial" w:cs="Arial" w:hint="cs"/>
          <w:b/>
          <w:sz w:val="28"/>
          <w:szCs w:val="28"/>
        </w:rPr>
        <w:t xml:space="preserve"> с отложением</w:t>
      </w:r>
      <w:r>
        <w:rPr>
          <w:rFonts w:ascii="Arial" w:hAnsi="Arial" w:cs="Arial" w:hint="cs"/>
          <w:b/>
          <w:sz w:val="28"/>
          <w:szCs w:val="28"/>
        </w:rPr>
        <w:t xml:space="preserve"> судебных заседаний 12 раз</w:t>
      </w:r>
      <w:r>
        <w:rPr>
          <w:rFonts w:ascii="Arial" w:hAnsi="Arial" w:cs="Arial" w:hint="cs"/>
          <w:sz w:val="28"/>
          <w:szCs w:val="28"/>
        </w:rPr>
        <w:t xml:space="preserve"> </w:t>
      </w:r>
      <w:r>
        <w:rPr>
          <w:rFonts w:ascii="Arial" w:hAnsi="Arial" w:cs="Arial" w:hint="cs"/>
          <w:i/>
          <w:sz w:val="28"/>
          <w:szCs w:val="28"/>
        </w:rPr>
        <w:t>(Енбекшиказахский районный суд Алматинской области, судья Бельдикбаев М.Б.).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 w:hint="cs"/>
          <w:sz w:val="28"/>
          <w:szCs w:val="28"/>
        </w:rPr>
        <w:t>Дело приня</w:t>
      </w:r>
      <w:r>
        <w:rPr>
          <w:rFonts w:ascii="Arial" w:hAnsi="Arial" w:cs="Arial" w:hint="cs"/>
          <w:sz w:val="28"/>
          <w:szCs w:val="28"/>
        </w:rPr>
        <w:t>то к производству суда 01.09.2015 г. Определением от 07.09.2015г. рассмотрение дела назначено на 11.09.2015г.   Далее судебные заседания откладывались в связи с неявкой ответчиков (5 раз), ходатайством сторон (1 раз), заявлением ответчика (2 раза), направл</w:t>
      </w:r>
      <w:r>
        <w:rPr>
          <w:rFonts w:ascii="Arial" w:hAnsi="Arial" w:cs="Arial" w:hint="cs"/>
          <w:sz w:val="28"/>
          <w:szCs w:val="28"/>
        </w:rPr>
        <w:t xml:space="preserve">ением запроса в нотариальную палату Алматинской области (1 раз), вызовом представителя Управления юстиции Енбекшиказахского района (1 раз), подготовкой участников процесса к прениям (1 раз). </w:t>
      </w:r>
      <w:r>
        <w:rPr>
          <w:rFonts w:ascii="Arial" w:hAnsi="Arial" w:cs="Arial" w:hint="cs"/>
          <w:sz w:val="28"/>
          <w:szCs w:val="28"/>
          <w:lang w:val="kk-KZ"/>
        </w:rPr>
        <w:t>Решение по делу принято 21.12.2015 года.</w:t>
      </w:r>
    </w:p>
    <w:p w:rsidR="00E97D30" w:rsidRDefault="009622F6">
      <w:pPr>
        <w:ind w:firstLine="708"/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 w:hint="cs"/>
          <w:b/>
          <w:sz w:val="28"/>
          <w:szCs w:val="28"/>
        </w:rPr>
        <w:t>3.</w:t>
      </w:r>
      <w:r>
        <w:rPr>
          <w:rFonts w:ascii="Arial" w:hAnsi="Arial" w:cs="Arial" w:hint="cs"/>
          <w:sz w:val="28"/>
          <w:szCs w:val="28"/>
        </w:rPr>
        <w:t xml:space="preserve"> Гражданское дело по и</w:t>
      </w:r>
      <w:r>
        <w:rPr>
          <w:rFonts w:ascii="Arial" w:hAnsi="Arial" w:cs="Arial" w:hint="cs"/>
          <w:sz w:val="28"/>
          <w:szCs w:val="28"/>
        </w:rPr>
        <w:t xml:space="preserve">сковому заявлению Башаева В.И. к </w:t>
      </w:r>
      <w:r>
        <w:rPr>
          <w:rFonts w:ascii="Arial" w:hAnsi="Arial" w:cs="Arial" w:hint="cs"/>
          <w:sz w:val="28"/>
          <w:szCs w:val="28"/>
        </w:rPr>
        <w:lastRenderedPageBreak/>
        <w:t xml:space="preserve">ТОО «Лакрица Приуралья» о внесении записей в трудовую книжку, возмещении морального вреда, компенсации за вынужденный отпуск рассмотрено с отложением судебных заседаний </w:t>
      </w:r>
      <w:r>
        <w:rPr>
          <w:rFonts w:ascii="Arial" w:hAnsi="Arial" w:cs="Arial" w:hint="cs"/>
          <w:b/>
          <w:sz w:val="28"/>
          <w:szCs w:val="28"/>
        </w:rPr>
        <w:t>10 раз</w:t>
      </w:r>
      <w:r>
        <w:rPr>
          <w:rFonts w:ascii="Arial" w:hAnsi="Arial" w:cs="Arial" w:hint="cs"/>
          <w:sz w:val="28"/>
          <w:szCs w:val="28"/>
        </w:rPr>
        <w:t xml:space="preserve"> </w:t>
      </w:r>
      <w:r>
        <w:rPr>
          <w:rFonts w:ascii="Arial" w:hAnsi="Arial" w:cs="Arial" w:hint="cs"/>
          <w:i/>
          <w:sz w:val="28"/>
          <w:szCs w:val="28"/>
        </w:rPr>
        <w:t>(суд №2 г.Уральска, судья Саулембекова А.А.).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Дело принято к производству суда 31.03.2015г. 7 апреля 2015 года срок подготовки дела к судебному разбирательству продлен до 1 месяца (до 30 апреля 2015 года). Вместе с тем, несмотря на продление, дело было недостаточно подготовлено и неоднократно откладыв</w:t>
      </w:r>
      <w:r>
        <w:rPr>
          <w:rFonts w:ascii="Arial" w:hAnsi="Arial" w:cs="Arial" w:hint="cs"/>
          <w:sz w:val="28"/>
          <w:szCs w:val="28"/>
        </w:rPr>
        <w:t>алось: в связи с неявкой сторон (5 раз), по ходатайству сторон (4 раза),  в связи с вызовом специалиста (1 раз).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 w:hint="cs"/>
          <w:sz w:val="28"/>
          <w:szCs w:val="28"/>
          <w:lang w:val="kk-KZ"/>
        </w:rPr>
        <w:t>Решение по делу принято 30.06.2015 года.</w:t>
      </w:r>
    </w:p>
    <w:p w:rsidR="00E97D30" w:rsidRDefault="009622F6">
      <w:pPr>
        <w:ind w:firstLine="708"/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 w:hint="cs"/>
          <w:b/>
          <w:sz w:val="28"/>
          <w:szCs w:val="28"/>
        </w:rPr>
        <w:t>4.</w:t>
      </w:r>
      <w:r>
        <w:rPr>
          <w:rFonts w:ascii="Arial" w:hAnsi="Arial" w:cs="Arial" w:hint="cs"/>
          <w:sz w:val="28"/>
          <w:szCs w:val="28"/>
        </w:rPr>
        <w:t xml:space="preserve"> Гражданское дело по иску Трубач Л.В., Угрюмовой З.И. к Федосенко Н.С. о взыскании материального уще</w:t>
      </w:r>
      <w:r>
        <w:rPr>
          <w:rFonts w:ascii="Arial" w:hAnsi="Arial" w:cs="Arial" w:hint="cs"/>
          <w:sz w:val="28"/>
          <w:szCs w:val="28"/>
        </w:rPr>
        <w:t xml:space="preserve">рба и компенсации морального вреда рассмотрено с отложением </w:t>
      </w:r>
      <w:r>
        <w:rPr>
          <w:rFonts w:ascii="Arial" w:hAnsi="Arial" w:cs="Arial" w:hint="cs"/>
          <w:b/>
          <w:sz w:val="28"/>
          <w:szCs w:val="28"/>
        </w:rPr>
        <w:t>9 раз</w:t>
      </w:r>
      <w:r>
        <w:rPr>
          <w:rFonts w:ascii="Arial" w:hAnsi="Arial" w:cs="Arial" w:hint="cs"/>
          <w:sz w:val="28"/>
          <w:szCs w:val="28"/>
        </w:rPr>
        <w:t xml:space="preserve"> </w:t>
      </w:r>
      <w:r>
        <w:rPr>
          <w:rFonts w:ascii="Arial" w:hAnsi="Arial" w:cs="Arial" w:hint="cs"/>
          <w:i/>
          <w:sz w:val="28"/>
          <w:szCs w:val="28"/>
        </w:rPr>
        <w:t>(Темиртауский городской суд Карагандинской области, судья Калдыбаева Г.К.).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Исковое заявление поступило в суд 27.03.2015г. Определением от 1.04.2015г. иск оставлен без движения до 8.04.2015г</w:t>
      </w:r>
      <w:r>
        <w:rPr>
          <w:rFonts w:ascii="Arial" w:hAnsi="Arial" w:cs="Arial" w:hint="cs"/>
          <w:sz w:val="28"/>
          <w:szCs w:val="28"/>
        </w:rPr>
        <w:t>. Определением от 9.04.2015г. срок, предоставленный истцу для исправления недостатков, продлен до 15.04.2015г. Далее, определением от 16.04.2015г. дело принято к производству и в ходе подготовки дела к судебному разбирательству на 27.04.2015г. назначена бе</w:t>
      </w:r>
      <w:r>
        <w:rPr>
          <w:rFonts w:ascii="Arial" w:hAnsi="Arial" w:cs="Arial" w:hint="cs"/>
          <w:sz w:val="28"/>
          <w:szCs w:val="28"/>
        </w:rPr>
        <w:t>седа, которая не состоялась в связи с неявкой сторон. Определением от 27.04.2015г. срок подготовки дела к судебному разбирательству продлен до 1 месяца (до 4 мая 2015 года). 4.05.2015г. суд определил повторно вызвать стороны в суд на 15.05.2015г. для прове</w:t>
      </w:r>
      <w:r>
        <w:rPr>
          <w:rFonts w:ascii="Arial" w:hAnsi="Arial" w:cs="Arial" w:hint="cs"/>
          <w:sz w:val="28"/>
          <w:szCs w:val="28"/>
        </w:rPr>
        <w:t xml:space="preserve">дения подготовки дела к судебному разбирательству. Определением от 15.05.2015г. дело признано надлежаще подготовленным и рассмотрение назначено на 27.05.2015г.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 xml:space="preserve">Далее дело откладывалось 3 раза в связи с неявкой сторон. Определением от 19.06.2015г. исковое </w:t>
      </w:r>
      <w:r>
        <w:rPr>
          <w:rFonts w:ascii="Arial" w:hAnsi="Arial" w:cs="Arial" w:hint="cs"/>
          <w:sz w:val="28"/>
          <w:szCs w:val="28"/>
        </w:rPr>
        <w:t>заявление в части исковых требований Трубач Л.В. к Федосенко Н.С. оставлено без рассмотрения в соответствии с п. 6 ст. 249 ГПК (в редакции по состоянию до 1 января 2016 года). В этот же день рассмотрено заявление истца Угрюмовой З.И. об отводе судьи с отка</w:t>
      </w:r>
      <w:r>
        <w:rPr>
          <w:rFonts w:ascii="Arial" w:hAnsi="Arial" w:cs="Arial" w:hint="cs"/>
          <w:sz w:val="28"/>
          <w:szCs w:val="28"/>
        </w:rPr>
        <w:t>зом в его удовлетворении.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Затем дело откладывалось 6 раз в связи заявлением представителя ответчика (2 раза), вызовом свидетелей (2 раза), для предоставления документов (2 раза).</w:t>
      </w:r>
    </w:p>
    <w:p w:rsidR="00E97D30" w:rsidRDefault="009622F6">
      <w:pPr>
        <w:pStyle w:val="ae"/>
        <w:ind w:firstLine="708"/>
        <w:rPr>
          <w:rFonts w:ascii="Arial" w:hAnsi="Arial" w:cs="Arial"/>
          <w:lang w:val="kk-KZ"/>
        </w:rPr>
      </w:pPr>
      <w:r>
        <w:rPr>
          <w:rFonts w:ascii="Arial" w:hAnsi="Arial" w:cs="Arial" w:hint="cs"/>
          <w:szCs w:val="28"/>
          <w:lang w:val="kk-KZ"/>
        </w:rPr>
        <w:t>Решение по делу вынесено 15.07.2015 г.</w:t>
      </w:r>
    </w:p>
    <w:p w:rsidR="00E97D30" w:rsidRDefault="00E97D30">
      <w:pPr>
        <w:ind w:firstLine="708"/>
        <w:jc w:val="both"/>
        <w:rPr>
          <w:rFonts w:ascii="Arial" w:hAnsi="Arial" w:cs="Arial"/>
          <w:sz w:val="28"/>
        </w:rPr>
      </w:pPr>
    </w:p>
    <w:p w:rsidR="00E97D30" w:rsidRDefault="009622F6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 w:hint="cs"/>
          <w:b/>
          <w:sz w:val="28"/>
          <w:szCs w:val="28"/>
        </w:rPr>
        <w:t>Выводы и предложения.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 xml:space="preserve">Основными </w:t>
      </w:r>
      <w:r>
        <w:rPr>
          <w:rFonts w:ascii="Arial" w:hAnsi="Arial" w:cs="Arial" w:hint="cs"/>
          <w:sz w:val="28"/>
          <w:szCs w:val="28"/>
        </w:rPr>
        <w:t xml:space="preserve">причинами отложения судебных заседаний, судя по  определениям судов, являются неявка участников процесса, в основном ответчиков, необходимость истребования новых </w:t>
      </w:r>
      <w:r>
        <w:rPr>
          <w:rFonts w:ascii="Arial" w:hAnsi="Arial" w:cs="Arial" w:hint="cs"/>
          <w:sz w:val="28"/>
          <w:szCs w:val="28"/>
        </w:rPr>
        <w:lastRenderedPageBreak/>
        <w:t>доказательств. При этом зачастую суды, признавая обязательной явку отдельных участников судопр</w:t>
      </w:r>
      <w:r>
        <w:rPr>
          <w:rFonts w:ascii="Arial" w:hAnsi="Arial" w:cs="Arial" w:hint="cs"/>
          <w:sz w:val="28"/>
          <w:szCs w:val="28"/>
        </w:rPr>
        <w:t xml:space="preserve">оизводства, не ставили вопрос об их принудительном приводе или привлечении к ответственности за неуважение к суду.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Вместе с тем, немаловажными факторами являются уровень организации судебных процессов, надлежащее извещение участников процесса, повседневны</w:t>
      </w:r>
      <w:r>
        <w:rPr>
          <w:rFonts w:ascii="Arial" w:hAnsi="Arial" w:cs="Arial" w:hint="cs"/>
          <w:sz w:val="28"/>
          <w:szCs w:val="28"/>
        </w:rPr>
        <w:t>й контроль за движением находящихся в производстве дел.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  <w:highlight w:val="red"/>
        </w:rPr>
      </w:pPr>
      <w:r>
        <w:rPr>
          <w:rFonts w:ascii="Arial" w:hAnsi="Arial" w:cs="Arial" w:hint="cs"/>
          <w:sz w:val="28"/>
          <w:szCs w:val="28"/>
        </w:rPr>
        <w:t xml:space="preserve">Как показал анализ, в 2015 году  имело место снижение общего числа дел, рассмотренных с отложением судебного разбирательства, до 24,5%, а в 1 полугодии 2016 года – до 19,7%. По данным за 2013 год и 9 </w:t>
      </w:r>
      <w:r>
        <w:rPr>
          <w:rFonts w:ascii="Arial" w:hAnsi="Arial" w:cs="Arial" w:hint="cs"/>
          <w:sz w:val="28"/>
          <w:szCs w:val="28"/>
        </w:rPr>
        <w:t xml:space="preserve">месяцев 2014 года  эти  показатели составили 43,6% и 37,9% соответственно.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Улучшению ситуации способствовало принятие организационных мер Верховным Судом в ноябре 2014 года, а также введение в действие с 1 января 2016 года  новой редакции ГПК, согласно ко</w:t>
      </w:r>
      <w:r>
        <w:rPr>
          <w:rFonts w:ascii="Arial" w:hAnsi="Arial" w:cs="Arial" w:hint="cs"/>
          <w:sz w:val="28"/>
          <w:szCs w:val="28"/>
        </w:rPr>
        <w:t xml:space="preserve">торому увеличены сроки подготовки дела к судебному разбирательству, предусмотрено проведение предварительного судебного заседания.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Вместе с тем, следует отметить, что при  исключении  из расчета дел, рассмотренных в приказном, упрощенном производстве, в 1</w:t>
      </w:r>
      <w:r>
        <w:rPr>
          <w:rFonts w:ascii="Arial" w:hAnsi="Arial" w:cs="Arial" w:hint="cs"/>
          <w:sz w:val="28"/>
          <w:szCs w:val="28"/>
        </w:rPr>
        <w:t xml:space="preserve"> полугодии 2016 года допущено ухудшение индикатора оперативности судебного рассмотрения. (Этот показатель составил в 2013 году 51,2%,  за 9 месяцев 2014 года – 45,3%, за 2015 год  - 40,1%, а за 1 полугодие 2016 года – 44,2%).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Для исключения судебной волоки</w:t>
      </w:r>
      <w:r>
        <w:rPr>
          <w:rFonts w:ascii="Arial" w:hAnsi="Arial" w:cs="Arial" w:hint="cs"/>
          <w:sz w:val="28"/>
          <w:szCs w:val="28"/>
        </w:rPr>
        <w:t xml:space="preserve">ты Верховным Судом и Департаментом по обеспечению деятельности судов приняты следующие меры: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- нормативным постановлением Верховного Суда  «О внесении изменений и дополнений в нормативное постановление Верховного Суда Республики Казахстан «О применении су</w:t>
      </w:r>
      <w:r>
        <w:rPr>
          <w:rFonts w:ascii="Arial" w:hAnsi="Arial" w:cs="Arial" w:hint="cs"/>
          <w:sz w:val="28"/>
          <w:szCs w:val="28"/>
        </w:rPr>
        <w:t xml:space="preserve">дами некоторых норм гражданского процессуального законодательства» от 20 марта 2003 года № 2», разъяснено местным судам, что количество отложений, как правило, не должно превышать четырех раз; </w:t>
      </w:r>
    </w:p>
    <w:p w:rsidR="00E97D30" w:rsidRDefault="009622F6">
      <w:pPr>
        <w:ind w:firstLine="708"/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 w:hint="cs"/>
          <w:sz w:val="28"/>
          <w:szCs w:val="28"/>
        </w:rPr>
        <w:t>- введен мониторинг исполнения названного нормативного постано</w:t>
      </w:r>
      <w:r>
        <w:rPr>
          <w:rFonts w:ascii="Arial" w:hAnsi="Arial" w:cs="Arial" w:hint="cs"/>
          <w:sz w:val="28"/>
          <w:szCs w:val="28"/>
        </w:rPr>
        <w:t xml:space="preserve">вления, с опубликованием данных на сайте Верховного Суда </w:t>
      </w:r>
      <w:r>
        <w:rPr>
          <w:rFonts w:ascii="Arial" w:hAnsi="Arial" w:cs="Arial" w:hint="cs"/>
          <w:i/>
          <w:sz w:val="28"/>
          <w:szCs w:val="28"/>
        </w:rPr>
        <w:t>(справочно: эти же данные используются экспертами международных организаций при формировании рейтинга «Doing Business»);</w:t>
      </w:r>
    </w:p>
    <w:p w:rsidR="00E97D30" w:rsidRDefault="009622F6">
      <w:pPr>
        <w:ind w:firstLine="708"/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 w:hint="cs"/>
          <w:sz w:val="28"/>
          <w:szCs w:val="28"/>
        </w:rPr>
        <w:t xml:space="preserve"> - в информационной системе судов реализовано автоматизированное формирование </w:t>
      </w:r>
      <w:r>
        <w:rPr>
          <w:rFonts w:ascii="Arial" w:hAnsi="Arial" w:cs="Arial" w:hint="cs"/>
          <w:sz w:val="28"/>
          <w:szCs w:val="28"/>
        </w:rPr>
        <w:t xml:space="preserve">данных о количестве отложенных судебных дел </w:t>
      </w:r>
      <w:r>
        <w:rPr>
          <w:rFonts w:ascii="Arial" w:hAnsi="Arial" w:cs="Arial" w:hint="cs"/>
          <w:i/>
          <w:sz w:val="28"/>
          <w:szCs w:val="28"/>
        </w:rPr>
        <w:t xml:space="preserve">(сведения отражены в приложениях к анализу).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 xml:space="preserve">Также следует иметь в виду,  что действующий ГПК не предусматривает принудительного привода ответчика, за исключением случая, предусмотренного статьей 342 (уклонение </w:t>
      </w:r>
      <w:r>
        <w:rPr>
          <w:rFonts w:ascii="Arial" w:hAnsi="Arial" w:cs="Arial" w:hint="cs"/>
          <w:sz w:val="28"/>
          <w:szCs w:val="28"/>
        </w:rPr>
        <w:t>от явки на судебное заседание больного, в отношении которого возбуждено дело о направлении на принудительное лечение в наркологической организации). Это стимулирует суды вместо неоднократного отложения судебных разбирательств, в случае неявки ответчика, ра</w:t>
      </w:r>
      <w:r>
        <w:rPr>
          <w:rFonts w:ascii="Arial" w:hAnsi="Arial" w:cs="Arial" w:hint="cs"/>
          <w:sz w:val="28"/>
          <w:szCs w:val="28"/>
        </w:rPr>
        <w:t xml:space="preserve">ссматривать возможность заочного рассмотрения дела. </w:t>
      </w:r>
    </w:p>
    <w:p w:rsidR="00E97D30" w:rsidRDefault="00E97D30">
      <w:pPr>
        <w:ind w:firstLine="708"/>
        <w:jc w:val="both"/>
        <w:rPr>
          <w:rFonts w:ascii="Arial" w:hAnsi="Arial" w:cs="Arial"/>
          <w:sz w:val="28"/>
        </w:rPr>
      </w:pPr>
    </w:p>
    <w:p w:rsidR="00E97D30" w:rsidRDefault="009622F6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 w:hint="cs"/>
          <w:b/>
          <w:sz w:val="28"/>
          <w:szCs w:val="28"/>
        </w:rPr>
        <w:t>С учетом изложенного, предлагается: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- направить результаты в судебную коллегию по гражданским делам Верховного Суда и в областные и приравненные к ним суды.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 w:hint="cs"/>
          <w:sz w:val="28"/>
          <w:szCs w:val="28"/>
          <w:u w:val="single"/>
        </w:rPr>
        <w:t>Областным и приравненным к ним судам: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- усили</w:t>
      </w:r>
      <w:r>
        <w:rPr>
          <w:rFonts w:ascii="Arial" w:hAnsi="Arial" w:cs="Arial" w:hint="cs"/>
          <w:sz w:val="28"/>
          <w:szCs w:val="28"/>
        </w:rPr>
        <w:t xml:space="preserve">ть меры по обеспечению качественного и своевременного разбирательства гражданских дел в районных судах, в том числе при наличии оснований – в заочном производстве; 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- обеспечить ежемесячный контроль и анализ исполнения требований ГПК и нормативного постано</w:t>
      </w:r>
      <w:r>
        <w:rPr>
          <w:rFonts w:ascii="Arial" w:hAnsi="Arial" w:cs="Arial" w:hint="cs"/>
          <w:sz w:val="28"/>
          <w:szCs w:val="28"/>
        </w:rPr>
        <w:t>вления Верховного Суда, регламентирующих отложение судебных разбирательств;</w:t>
      </w:r>
    </w:p>
    <w:p w:rsidR="00E97D30" w:rsidRDefault="009622F6">
      <w:pPr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 xml:space="preserve">- изучить обоснованность отложения судебных разбирательств районными судами  </w:t>
      </w:r>
      <w:r>
        <w:rPr>
          <w:rFonts w:ascii="Arial" w:hAnsi="Arial" w:cs="Arial" w:hint="cs"/>
          <w:i/>
          <w:sz w:val="28"/>
          <w:szCs w:val="28"/>
        </w:rPr>
        <w:t>(по данным таблиц в приложении)</w:t>
      </w:r>
      <w:r>
        <w:rPr>
          <w:rFonts w:ascii="Arial" w:hAnsi="Arial" w:cs="Arial" w:hint="cs"/>
          <w:sz w:val="28"/>
          <w:szCs w:val="28"/>
        </w:rPr>
        <w:t>;</w:t>
      </w:r>
    </w:p>
    <w:p w:rsidR="00E97D30" w:rsidRDefault="009622F6">
      <w:pPr>
        <w:ind w:firstLine="708"/>
        <w:jc w:val="both"/>
        <w:rPr>
          <w:rFonts w:ascii="Arial" w:eastAsia="Calibri" w:hAnsi="Arial" w:cs="Arial"/>
          <w:sz w:val="28"/>
          <w:lang w:eastAsia="en-US"/>
        </w:rPr>
      </w:pPr>
      <w:r>
        <w:rPr>
          <w:rFonts w:ascii="Arial" w:hAnsi="Arial" w:cs="Arial" w:hint="cs"/>
          <w:sz w:val="28"/>
          <w:szCs w:val="28"/>
        </w:rPr>
        <w:t xml:space="preserve">- </w:t>
      </w:r>
      <w:r>
        <w:rPr>
          <w:rFonts w:ascii="Arial" w:hAnsi="Arial" w:cs="Arial" w:hint="cs"/>
          <w:sz w:val="28"/>
          <w:szCs w:val="28"/>
          <w:lang w:val="kk-KZ"/>
        </w:rPr>
        <w:t>шире</w:t>
      </w:r>
      <w:r>
        <w:rPr>
          <w:rFonts w:ascii="Arial" w:hAnsi="Arial" w:cs="Arial" w:hint="cs"/>
          <w:sz w:val="28"/>
          <w:szCs w:val="28"/>
        </w:rPr>
        <w:t xml:space="preserve"> использовать возможности </w:t>
      </w:r>
      <w:r>
        <w:rPr>
          <w:rFonts w:ascii="Arial" w:eastAsia="Calibri" w:hAnsi="Arial" w:cs="Arial" w:hint="cs"/>
          <w:sz w:val="28"/>
          <w:szCs w:val="28"/>
          <w:lang w:eastAsia="en-US"/>
        </w:rPr>
        <w:t>сервиса</w:t>
      </w:r>
      <w:r>
        <w:rPr>
          <w:rFonts w:ascii="Arial" w:eastAsia="Calibri" w:hAnsi="Arial" w:cs="Arial" w:hint="cs"/>
          <w:sz w:val="28"/>
          <w:szCs w:val="28"/>
          <w:lang w:eastAsia="en-US"/>
        </w:rPr>
        <w:t xml:space="preserve"> «Судебный кабинет» и «Мобильная версия Судебного кабинета» для извещения пользователей через </w:t>
      </w:r>
      <w:r>
        <w:rPr>
          <w:rFonts w:ascii="Arial" w:eastAsia="Calibri" w:hAnsi="Arial" w:cs="Arial" w:hint="cs"/>
          <w:sz w:val="28"/>
          <w:szCs w:val="28"/>
          <w:lang w:val="en-US" w:eastAsia="en-US"/>
        </w:rPr>
        <w:t>Push</w:t>
      </w:r>
      <w:r>
        <w:rPr>
          <w:rFonts w:ascii="Arial" w:eastAsia="Calibri" w:hAnsi="Arial" w:cs="Arial" w:hint="cs"/>
          <w:sz w:val="28"/>
          <w:szCs w:val="28"/>
          <w:lang w:eastAsia="en-US"/>
        </w:rPr>
        <w:t xml:space="preserve">-уведомления, а также </w:t>
      </w:r>
      <w:r>
        <w:rPr>
          <w:rFonts w:ascii="Arial" w:eastAsia="Calibri" w:hAnsi="Arial" w:cs="Arial" w:hint="cs"/>
          <w:sz w:val="28"/>
          <w:szCs w:val="28"/>
          <w:lang w:val="en-US" w:eastAsia="en-US"/>
        </w:rPr>
        <w:t>SMS</w:t>
      </w:r>
      <w:r>
        <w:rPr>
          <w:rFonts w:ascii="Arial" w:eastAsia="Calibri" w:hAnsi="Arial" w:cs="Arial" w:hint="cs"/>
          <w:sz w:val="28"/>
          <w:szCs w:val="28"/>
          <w:lang w:eastAsia="en-US"/>
        </w:rPr>
        <w:t>-извещения и гибридную электронную почту.</w:t>
      </w:r>
    </w:p>
    <w:p w:rsidR="00E97D30" w:rsidRDefault="009622F6">
      <w:pPr>
        <w:widowControl/>
        <w:ind w:firstLine="709"/>
        <w:jc w:val="both"/>
        <w:rPr>
          <w:rFonts w:ascii="Arial" w:eastAsia="Calibri" w:hAnsi="Arial" w:cs="Arial"/>
          <w:sz w:val="28"/>
          <w:lang w:eastAsia="en-US"/>
        </w:rPr>
      </w:pPr>
      <w:r>
        <w:rPr>
          <w:rFonts w:ascii="Arial" w:eastAsia="Calibri" w:hAnsi="Arial" w:cs="Arial" w:hint="cs"/>
          <w:sz w:val="28"/>
          <w:szCs w:val="28"/>
          <w:u w:val="single"/>
          <w:lang w:eastAsia="en-US"/>
        </w:rPr>
        <w:t>Департаменту по обеспечению деятельности судов</w:t>
      </w:r>
      <w:r>
        <w:rPr>
          <w:rFonts w:ascii="Arial" w:eastAsia="Calibri" w:hAnsi="Arial" w:cs="Arial" w:hint="cs"/>
          <w:sz w:val="28"/>
          <w:szCs w:val="28"/>
          <w:lang w:eastAsia="en-US"/>
        </w:rPr>
        <w:t>:</w:t>
      </w:r>
    </w:p>
    <w:p w:rsidR="00E97D30" w:rsidRDefault="009622F6">
      <w:pPr>
        <w:widowControl/>
        <w:ind w:firstLine="709"/>
        <w:jc w:val="both"/>
        <w:rPr>
          <w:rFonts w:ascii="Arial" w:hAnsi="Arial" w:cs="Arial"/>
          <w:sz w:val="28"/>
        </w:rPr>
      </w:pPr>
      <w:r>
        <w:rPr>
          <w:rFonts w:ascii="Arial" w:eastAsia="Calibri" w:hAnsi="Arial" w:cs="Arial" w:hint="cs"/>
          <w:sz w:val="28"/>
          <w:szCs w:val="28"/>
          <w:lang w:eastAsia="en-US"/>
        </w:rPr>
        <w:t xml:space="preserve">- внести предложения о </w:t>
      </w:r>
      <w:r>
        <w:rPr>
          <w:rFonts w:ascii="Arial" w:hAnsi="Arial" w:cs="Arial" w:hint="cs"/>
          <w:sz w:val="28"/>
          <w:szCs w:val="28"/>
        </w:rPr>
        <w:t>целесообразности</w:t>
      </w:r>
      <w:r>
        <w:rPr>
          <w:rFonts w:ascii="Arial" w:hAnsi="Arial" w:cs="Arial" w:hint="cs"/>
          <w:sz w:val="28"/>
          <w:szCs w:val="28"/>
        </w:rPr>
        <w:t xml:space="preserve"> включения показателя  отложения судебных заседаний в оценку деятельности местных судов;</w:t>
      </w:r>
    </w:p>
    <w:p w:rsidR="00E97D30" w:rsidRDefault="009622F6">
      <w:pPr>
        <w:widowControl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sz w:val="28"/>
          <w:szCs w:val="28"/>
        </w:rPr>
        <w:t>- о результатах мониторинга исполнения требований нормативных актов по вопросам отложения судебных заседаний информировать Председателя Верховного Суда по итогам работ</w:t>
      </w:r>
      <w:r>
        <w:rPr>
          <w:rFonts w:ascii="Arial" w:hAnsi="Arial" w:cs="Arial" w:hint="cs"/>
          <w:sz w:val="28"/>
          <w:szCs w:val="28"/>
        </w:rPr>
        <w:t>ы за 2016 год.</w:t>
      </w:r>
    </w:p>
    <w:p w:rsidR="00E97D30" w:rsidRDefault="00E97D30">
      <w:pPr>
        <w:widowControl/>
        <w:ind w:firstLine="709"/>
        <w:jc w:val="both"/>
        <w:rPr>
          <w:rFonts w:ascii="Arial" w:hAnsi="Arial" w:cs="Arial"/>
          <w:sz w:val="28"/>
        </w:rPr>
      </w:pPr>
    </w:p>
    <w:p w:rsidR="00E97D30" w:rsidRDefault="009622F6">
      <w:pPr>
        <w:widowControl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 w:hint="cs"/>
          <w:i/>
          <w:sz w:val="28"/>
          <w:szCs w:val="28"/>
        </w:rPr>
        <w:t>Приложение: таблицы по тексту на 8 листах.</w:t>
      </w:r>
      <w:r>
        <w:rPr>
          <w:rFonts w:ascii="Arial" w:hAnsi="Arial" w:cs="Arial" w:hint="cs"/>
          <w:sz w:val="28"/>
          <w:szCs w:val="28"/>
        </w:rPr>
        <w:t xml:space="preserve"> </w:t>
      </w:r>
    </w:p>
    <w:p w:rsidR="00E97D30" w:rsidRDefault="00E97D30">
      <w:pPr>
        <w:widowControl/>
        <w:jc w:val="both"/>
        <w:rPr>
          <w:rFonts w:eastAsia="Calibri"/>
          <w:color w:val="FF0000"/>
          <w:sz w:val="28"/>
          <w:lang w:eastAsia="en-US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9622F6">
      <w:pPr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 w:hint="cs"/>
          <w:b/>
          <w:sz w:val="28"/>
          <w:szCs w:val="28"/>
        </w:rPr>
        <w:t>Отдел анализа и планирования</w:t>
      </w: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E97D30">
      <w:pPr>
        <w:ind w:firstLine="708"/>
        <w:jc w:val="both"/>
        <w:rPr>
          <w:rFonts w:ascii="Arial" w:hAnsi="Arial" w:cs="Arial"/>
          <w:b/>
          <w:sz w:val="28"/>
        </w:rPr>
      </w:pPr>
    </w:p>
    <w:p w:rsidR="00E97D30" w:rsidRDefault="009622F6">
      <w:pPr>
        <w:ind w:firstLine="708"/>
        <w:jc w:val="both"/>
        <w:rPr>
          <w:rFonts w:ascii="Arial" w:hAnsi="Arial" w:cs="Arial"/>
          <w:b/>
          <w:i/>
          <w:sz w:val="28"/>
        </w:rPr>
      </w:pPr>
      <w:r>
        <w:rPr>
          <w:i/>
        </w:rPr>
        <w:t>*Примечание: диаграммы доступны в архивном вложении.</w:t>
      </w:r>
    </w:p>
    <w:sectPr w:rsidR="00E97D30">
      <w:headerReference w:type="default" r:id="rId8"/>
      <w:pgSz w:w="11906" w:h="16838"/>
      <w:pgMar w:top="851" w:right="850" w:bottom="1134" w:left="170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F6" w:rsidRDefault="009622F6">
      <w:r>
        <w:separator/>
      </w:r>
    </w:p>
  </w:endnote>
  <w:endnote w:type="continuationSeparator" w:id="0">
    <w:p w:rsidR="009622F6" w:rsidRDefault="009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F6" w:rsidRDefault="009622F6">
      <w:r>
        <w:separator/>
      </w:r>
    </w:p>
  </w:footnote>
  <w:footnote w:type="continuationSeparator" w:id="0">
    <w:p w:rsidR="009622F6" w:rsidRDefault="0096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30" w:rsidRDefault="009622F6">
    <w:pPr>
      <w:pStyle w:val="10"/>
      <w:jc w:val="center"/>
    </w:pPr>
    <w:r>
      <w:fldChar w:fldCharType="begin"/>
    </w:r>
    <w:r>
      <w:instrText>PAGE \* MERGEFORMAT</w:instrText>
    </w:r>
    <w:r w:rsidR="00D606B5">
      <w:fldChar w:fldCharType="separate"/>
    </w:r>
    <w:r w:rsidR="00D606B5">
      <w:rPr>
        <w:noProof/>
      </w:rPr>
      <w:t>1</w:t>
    </w:r>
    <w:r>
      <w:fldChar w:fldCharType="end"/>
    </w:r>
  </w:p>
  <w:p w:rsidR="00E97D30" w:rsidRDefault="00E97D30">
    <w:pPr>
      <w:pStyle w:val="10"/>
    </w:pPr>
  </w:p>
  <w:p w:rsidR="00E97D30" w:rsidRDefault="009622F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13E490B4">
      <w:start w:val="1"/>
      <w:numFmt w:val="decimal"/>
      <w:lvlText w:val="%1)"/>
      <w:lvlJc w:val="left"/>
      <w:pPr>
        <w:ind w:left="1020" w:hanging="433"/>
      </w:pPr>
      <w:rPr>
        <w:rFonts w:hint="default"/>
      </w:rPr>
    </w:lvl>
    <w:lvl w:ilvl="1" w:tplc="E3D4E210">
      <w:start w:val="1"/>
      <w:numFmt w:val="lowerLetter"/>
      <w:lvlText w:val="%2."/>
      <w:lvlJc w:val="left"/>
      <w:pPr>
        <w:ind w:left="1665" w:hanging="358"/>
      </w:pPr>
    </w:lvl>
    <w:lvl w:ilvl="2" w:tplc="29E2303E">
      <w:start w:val="1"/>
      <w:numFmt w:val="lowerRoman"/>
      <w:lvlText w:val="%3."/>
      <w:lvlJc w:val="right"/>
      <w:pPr>
        <w:ind w:left="2385" w:hanging="178"/>
      </w:pPr>
    </w:lvl>
    <w:lvl w:ilvl="3" w:tplc="265E2EB8">
      <w:start w:val="1"/>
      <w:numFmt w:val="decimal"/>
      <w:lvlText w:val="%4."/>
      <w:lvlJc w:val="left"/>
      <w:pPr>
        <w:ind w:left="3105" w:hanging="358"/>
      </w:pPr>
    </w:lvl>
    <w:lvl w:ilvl="4" w:tplc="D79652B0">
      <w:start w:val="1"/>
      <w:numFmt w:val="lowerLetter"/>
      <w:lvlText w:val="%5."/>
      <w:lvlJc w:val="left"/>
      <w:pPr>
        <w:ind w:left="3825" w:hanging="358"/>
      </w:pPr>
    </w:lvl>
    <w:lvl w:ilvl="5" w:tplc="C4383D90">
      <w:start w:val="1"/>
      <w:numFmt w:val="lowerRoman"/>
      <w:lvlText w:val="%6."/>
      <w:lvlJc w:val="right"/>
      <w:pPr>
        <w:ind w:left="4545" w:hanging="178"/>
      </w:pPr>
    </w:lvl>
    <w:lvl w:ilvl="6" w:tplc="4D925386">
      <w:start w:val="1"/>
      <w:numFmt w:val="decimal"/>
      <w:lvlText w:val="%7."/>
      <w:lvlJc w:val="left"/>
      <w:pPr>
        <w:ind w:left="5265" w:hanging="358"/>
      </w:pPr>
    </w:lvl>
    <w:lvl w:ilvl="7" w:tplc="8D7A100A">
      <w:start w:val="1"/>
      <w:numFmt w:val="lowerLetter"/>
      <w:lvlText w:val="%8."/>
      <w:lvlJc w:val="left"/>
      <w:pPr>
        <w:ind w:left="5985" w:hanging="358"/>
      </w:pPr>
    </w:lvl>
    <w:lvl w:ilvl="8" w:tplc="CFD4A954">
      <w:start w:val="1"/>
      <w:numFmt w:val="lowerRoman"/>
      <w:lvlText w:val="%9."/>
      <w:lvlJc w:val="right"/>
      <w:pPr>
        <w:ind w:left="6705" w:hanging="178"/>
      </w:pPr>
    </w:lvl>
  </w:abstractNum>
  <w:abstractNum w:abstractNumId="1">
    <w:nsid w:val="00000001"/>
    <w:multiLevelType w:val="hybridMultilevel"/>
    <w:tmpl w:val="00000000"/>
    <w:lvl w:ilvl="0" w:tplc="571E6A2A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 w:hint="default"/>
        <w:sz w:val="20"/>
      </w:rPr>
    </w:lvl>
    <w:lvl w:ilvl="1" w:tplc="4F606C28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hint="default"/>
        <w:sz w:val="20"/>
      </w:rPr>
    </w:lvl>
    <w:lvl w:ilvl="2" w:tplc="B9DA7394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  <w:sz w:val="20"/>
      </w:rPr>
    </w:lvl>
    <w:lvl w:ilvl="3" w:tplc="89B4654A">
      <w:start w:val="1"/>
      <w:numFmt w:val="bullet"/>
      <w:lvlText w:val=""/>
      <w:lvlJc w:val="left"/>
      <w:pPr>
        <w:tabs>
          <w:tab w:val="left" w:pos="2880"/>
        </w:tabs>
        <w:ind w:left="2880" w:hanging="358"/>
      </w:pPr>
      <w:rPr>
        <w:rFonts w:ascii="Wingdings" w:hAnsi="Wingdings" w:hint="default"/>
        <w:sz w:val="20"/>
      </w:rPr>
    </w:lvl>
    <w:lvl w:ilvl="4" w:tplc="3516EF6C">
      <w:start w:val="1"/>
      <w:numFmt w:val="bullet"/>
      <w:lvlText w:val=""/>
      <w:lvlJc w:val="left"/>
      <w:pPr>
        <w:tabs>
          <w:tab w:val="left" w:pos="3600"/>
        </w:tabs>
        <w:ind w:left="3600" w:hanging="358"/>
      </w:pPr>
      <w:rPr>
        <w:rFonts w:ascii="Wingdings" w:hAnsi="Wingdings" w:hint="default"/>
        <w:sz w:val="20"/>
      </w:rPr>
    </w:lvl>
    <w:lvl w:ilvl="5" w:tplc="A552A990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  <w:sz w:val="20"/>
      </w:rPr>
    </w:lvl>
    <w:lvl w:ilvl="6" w:tplc="65640BFA">
      <w:start w:val="1"/>
      <w:numFmt w:val="bullet"/>
      <w:lvlText w:val=""/>
      <w:lvlJc w:val="left"/>
      <w:pPr>
        <w:tabs>
          <w:tab w:val="left" w:pos="5040"/>
        </w:tabs>
        <w:ind w:left="5040" w:hanging="358"/>
      </w:pPr>
      <w:rPr>
        <w:rFonts w:ascii="Wingdings" w:hAnsi="Wingdings" w:hint="default"/>
        <w:sz w:val="20"/>
      </w:rPr>
    </w:lvl>
    <w:lvl w:ilvl="7" w:tplc="F2CE66B2">
      <w:start w:val="1"/>
      <w:numFmt w:val="bullet"/>
      <w:lvlText w:val=""/>
      <w:lvlJc w:val="left"/>
      <w:pPr>
        <w:tabs>
          <w:tab w:val="left" w:pos="5760"/>
        </w:tabs>
        <w:ind w:left="5760" w:hanging="358"/>
      </w:pPr>
      <w:rPr>
        <w:rFonts w:ascii="Wingdings" w:hAnsi="Wingdings" w:hint="default"/>
        <w:sz w:val="20"/>
      </w:rPr>
    </w:lvl>
    <w:lvl w:ilvl="8" w:tplc="4CB0602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00000000"/>
    <w:lvl w:ilvl="0" w:tplc="98986F1A">
      <w:start w:val="1"/>
      <w:numFmt w:val="bullet"/>
      <w:lvlText w:val="-"/>
      <w:lvlJc w:val="left"/>
      <w:pPr>
        <w:ind w:left="1068" w:hanging="358"/>
      </w:pPr>
      <w:rPr>
        <w:rFonts w:ascii="Times New Roman" w:eastAsia="Calibri" w:hAnsi="Times New Roman" w:cs="Times New Roman" w:hint="default"/>
      </w:rPr>
    </w:lvl>
    <w:lvl w:ilvl="1" w:tplc="92C635CC">
      <w:start w:val="1"/>
      <w:numFmt w:val="bullet"/>
      <w:lvlText w:val="o"/>
      <w:lvlJc w:val="left"/>
      <w:pPr>
        <w:ind w:left="1788" w:hanging="358"/>
      </w:pPr>
      <w:rPr>
        <w:rFonts w:ascii="Courier New" w:hAnsi="Courier New" w:cs="Courier New" w:hint="default"/>
      </w:rPr>
    </w:lvl>
    <w:lvl w:ilvl="2" w:tplc="1D663CC6">
      <w:start w:val="1"/>
      <w:numFmt w:val="bullet"/>
      <w:lvlText w:val=""/>
      <w:lvlJc w:val="left"/>
      <w:pPr>
        <w:ind w:left="2508" w:hanging="358"/>
      </w:pPr>
      <w:rPr>
        <w:rFonts w:ascii="Wingdings" w:hAnsi="Wingdings" w:hint="default"/>
      </w:rPr>
    </w:lvl>
    <w:lvl w:ilvl="3" w:tplc="F776139E">
      <w:start w:val="1"/>
      <w:numFmt w:val="bullet"/>
      <w:lvlText w:val=""/>
      <w:lvlJc w:val="left"/>
      <w:pPr>
        <w:ind w:left="3228" w:hanging="358"/>
      </w:pPr>
      <w:rPr>
        <w:rFonts w:ascii="Symbol" w:hAnsi="Symbol" w:hint="default"/>
      </w:rPr>
    </w:lvl>
    <w:lvl w:ilvl="4" w:tplc="FAECD820">
      <w:start w:val="1"/>
      <w:numFmt w:val="bullet"/>
      <w:lvlText w:val="o"/>
      <w:lvlJc w:val="left"/>
      <w:pPr>
        <w:ind w:left="3948" w:hanging="358"/>
      </w:pPr>
      <w:rPr>
        <w:rFonts w:ascii="Courier New" w:hAnsi="Courier New" w:cs="Courier New" w:hint="default"/>
      </w:rPr>
    </w:lvl>
    <w:lvl w:ilvl="5" w:tplc="DF346D1A">
      <w:start w:val="1"/>
      <w:numFmt w:val="bullet"/>
      <w:lvlText w:val=""/>
      <w:lvlJc w:val="left"/>
      <w:pPr>
        <w:ind w:left="4668" w:hanging="358"/>
      </w:pPr>
      <w:rPr>
        <w:rFonts w:ascii="Wingdings" w:hAnsi="Wingdings" w:hint="default"/>
      </w:rPr>
    </w:lvl>
    <w:lvl w:ilvl="6" w:tplc="F190D9CA">
      <w:start w:val="1"/>
      <w:numFmt w:val="bullet"/>
      <w:lvlText w:val=""/>
      <w:lvlJc w:val="left"/>
      <w:pPr>
        <w:ind w:left="5388" w:hanging="358"/>
      </w:pPr>
      <w:rPr>
        <w:rFonts w:ascii="Symbol" w:hAnsi="Symbol" w:hint="default"/>
      </w:rPr>
    </w:lvl>
    <w:lvl w:ilvl="7" w:tplc="A934CC3C">
      <w:start w:val="1"/>
      <w:numFmt w:val="bullet"/>
      <w:lvlText w:val="o"/>
      <w:lvlJc w:val="left"/>
      <w:pPr>
        <w:ind w:left="6108" w:hanging="358"/>
      </w:pPr>
      <w:rPr>
        <w:rFonts w:ascii="Courier New" w:hAnsi="Courier New" w:cs="Courier New" w:hint="default"/>
      </w:rPr>
    </w:lvl>
    <w:lvl w:ilvl="8" w:tplc="95BAA53C">
      <w:start w:val="1"/>
      <w:numFmt w:val="bullet"/>
      <w:lvlText w:val=""/>
      <w:lvlJc w:val="left"/>
      <w:pPr>
        <w:ind w:left="6828" w:hanging="358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E71CCAAE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2E361B34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E5B292EE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32763CA2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28A6AEE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A1EEA7B0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AC3ADC9C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CD969792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65D2B97C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4">
    <w:nsid w:val="00000004"/>
    <w:multiLevelType w:val="hybridMultilevel"/>
    <w:tmpl w:val="00000000"/>
    <w:lvl w:ilvl="0" w:tplc="FF7E2BF8">
      <w:start w:val="1"/>
      <w:numFmt w:val="decimal"/>
      <w:lvlText w:val="%1."/>
      <w:lvlJc w:val="left"/>
      <w:pPr>
        <w:ind w:left="1068" w:hanging="358"/>
      </w:pPr>
      <w:rPr>
        <w:rFonts w:hint="default"/>
        <w:b w:val="0"/>
        <w:color w:val="000000"/>
      </w:rPr>
    </w:lvl>
    <w:lvl w:ilvl="1" w:tplc="36A85614">
      <w:start w:val="1"/>
      <w:numFmt w:val="lowerLetter"/>
      <w:lvlText w:val="%2."/>
      <w:lvlJc w:val="left"/>
      <w:pPr>
        <w:ind w:left="1788" w:hanging="358"/>
      </w:pPr>
    </w:lvl>
    <w:lvl w:ilvl="2" w:tplc="A2400258">
      <w:start w:val="1"/>
      <w:numFmt w:val="lowerRoman"/>
      <w:lvlText w:val="%3."/>
      <w:lvlJc w:val="right"/>
      <w:pPr>
        <w:ind w:left="2508" w:hanging="178"/>
      </w:pPr>
    </w:lvl>
    <w:lvl w:ilvl="3" w:tplc="3C4ED3D2">
      <w:start w:val="1"/>
      <w:numFmt w:val="decimal"/>
      <w:lvlText w:val="%4."/>
      <w:lvlJc w:val="left"/>
      <w:pPr>
        <w:ind w:left="3228" w:hanging="358"/>
      </w:pPr>
    </w:lvl>
    <w:lvl w:ilvl="4" w:tplc="BE16D4C6">
      <w:start w:val="1"/>
      <w:numFmt w:val="lowerLetter"/>
      <w:lvlText w:val="%5."/>
      <w:lvlJc w:val="left"/>
      <w:pPr>
        <w:ind w:left="3948" w:hanging="358"/>
      </w:pPr>
    </w:lvl>
    <w:lvl w:ilvl="5" w:tplc="3D463350">
      <w:start w:val="1"/>
      <w:numFmt w:val="lowerRoman"/>
      <w:lvlText w:val="%6."/>
      <w:lvlJc w:val="right"/>
      <w:pPr>
        <w:ind w:left="4668" w:hanging="178"/>
      </w:pPr>
    </w:lvl>
    <w:lvl w:ilvl="6" w:tplc="F17602CC">
      <w:start w:val="1"/>
      <w:numFmt w:val="decimal"/>
      <w:lvlText w:val="%7."/>
      <w:lvlJc w:val="left"/>
      <w:pPr>
        <w:ind w:left="5388" w:hanging="358"/>
      </w:pPr>
    </w:lvl>
    <w:lvl w:ilvl="7" w:tplc="BC826AB4">
      <w:start w:val="1"/>
      <w:numFmt w:val="lowerLetter"/>
      <w:lvlText w:val="%8."/>
      <w:lvlJc w:val="left"/>
      <w:pPr>
        <w:ind w:left="6108" w:hanging="358"/>
      </w:pPr>
    </w:lvl>
    <w:lvl w:ilvl="8" w:tplc="1354E546">
      <w:start w:val="1"/>
      <w:numFmt w:val="lowerRoman"/>
      <w:lvlText w:val="%9."/>
      <w:lvlJc w:val="right"/>
      <w:pPr>
        <w:ind w:left="6828" w:hanging="17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30"/>
    <w:rsid w:val="009622F6"/>
    <w:rsid w:val="00D606B5"/>
    <w:rsid w:val="00E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semiHidden/>
    <w:unhideWhenUsed/>
    <w:qFormat/>
    <w:pPr>
      <w:keepNext/>
      <w:keepLines/>
      <w:spacing w:before="200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/>
    </w:pPr>
    <w:rPr>
      <w:b/>
      <w:sz w:val="48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/>
    </w:pPr>
    <w:rPr>
      <w:b/>
      <w:i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/>
    </w:pPr>
    <w:rPr>
      <w:b/>
      <w:color w:val="444444"/>
      <w:sz w:val="28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/>
    </w:pPr>
    <w:rPr>
      <w:i/>
      <w:color w:val="232323"/>
      <w:sz w:val="28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/>
    </w:pPr>
    <w:rPr>
      <w:i/>
      <w:color w:val="444444"/>
      <w:sz w:val="23"/>
    </w:rPr>
  </w:style>
  <w:style w:type="character" w:customStyle="1" w:styleId="2">
    <w:name w:val="Заголовок 2 Знак"/>
    <w:basedOn w:val="a0"/>
    <w:uiPriority w:val="9"/>
    <w:semiHidden/>
    <w:rPr>
      <w:rFonts w:ascii="Cambria" w:eastAsia="Cambria" w:hAnsi="Cambria" w:cs="Cambria" w:hint="cs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sz w:val="72"/>
    </w:rPr>
  </w:style>
  <w:style w:type="paragraph" w:styleId="a4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6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Balloon Text"/>
    <w:basedOn w:val="a"/>
    <w:uiPriority w:val="99"/>
    <w:semiHidden/>
    <w:unhideWhenUsed/>
    <w:pPr>
      <w:widowControl/>
    </w:pPr>
    <w:rPr>
      <w:rFonts w:ascii="Tahoma" w:eastAsia="Calibri" w:hAnsi="Tahoma" w:cs="Tahoma" w:hint="cs"/>
      <w:sz w:val="16"/>
      <w:szCs w:val="16"/>
      <w:lang w:eastAsia="en-US"/>
    </w:rPr>
  </w:style>
  <w:style w:type="character" w:customStyle="1" w:styleId="a9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aa">
    <w:name w:val="Знак Знак Знак Знак Знак Знак"/>
    <w:basedOn w:val="a"/>
    <w:pPr>
      <w:widowControl/>
      <w:spacing w:after="160" w:line="240" w:lineRule="exact"/>
    </w:pPr>
    <w:rPr>
      <w:rFonts w:eastAsia="SimSun" w:hint="cs"/>
      <w:b/>
      <w:sz w:val="28"/>
      <w:szCs w:val="24"/>
      <w:lang w:val="en-US" w:eastAsia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a0"/>
    <w:rPr>
      <w:rFonts w:ascii="Calibri" w:hAnsi="Calibri" w:hint="cs"/>
    </w:rPr>
  </w:style>
  <w:style w:type="paragraph" w:customStyle="1" w:styleId="ac">
    <w:name w:val="Знак"/>
    <w:basedOn w:val="a"/>
    <w:next w:val="21"/>
    <w:pPr>
      <w:widowControl/>
      <w:spacing w:after="160" w:line="240" w:lineRule="exact"/>
    </w:pPr>
    <w:rPr>
      <w:sz w:val="28"/>
      <w:szCs w:val="28"/>
      <w:lang w:eastAsia="en-US"/>
    </w:rPr>
  </w:style>
  <w:style w:type="paragraph" w:customStyle="1" w:styleId="ad">
    <w:name w:val="Знак Знак Знак"/>
    <w:basedOn w:val="a"/>
    <w:next w:val="21"/>
    <w:pPr>
      <w:widowControl/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 w:hint="default"/>
      <w:sz w:val="20"/>
      <w:szCs w:val="20"/>
      <w:lang w:eastAsia="ru-RU"/>
    </w:rPr>
  </w:style>
  <w:style w:type="paragraph" w:styleId="ae">
    <w:name w:val="Body Text"/>
    <w:basedOn w:val="a"/>
    <w:pPr>
      <w:widowControl/>
      <w:jc w:val="both"/>
    </w:pPr>
    <w:rPr>
      <w:rFonts w:eastAsia="Calibri"/>
      <w:sz w:val="28"/>
    </w:rPr>
  </w:style>
  <w:style w:type="character" w:customStyle="1" w:styleId="af">
    <w:name w:val="Основной текст Знак"/>
    <w:basedOn w:val="a0"/>
    <w:rPr>
      <w:rFonts w:ascii="Times New Roman" w:eastAsia="Calibri" w:hAnsi="Times New Roman" w:cs="Times New Roman" w:hint="cs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uiPriority w:val="99"/>
    <w:rPr>
      <w:rFonts w:ascii="Times New Roman" w:eastAsia="Times New Roman" w:hAnsi="Times New Roman" w:cs="Times New Roman" w:hint="cs"/>
      <w:sz w:val="20"/>
      <w:szCs w:val="20"/>
      <w:lang w:eastAsia="ru-RU"/>
    </w:r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uiPriority w:val="99"/>
    <w:rPr>
      <w:rFonts w:ascii="Times New Roman" w:eastAsia="Times New Roman" w:hAnsi="Times New Roman" w:cs="Times New Roman" w:hint="c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semiHidden/>
    <w:unhideWhenUsed/>
    <w:qFormat/>
    <w:pPr>
      <w:keepNext/>
      <w:keepLines/>
      <w:spacing w:before="200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/>
    </w:pPr>
    <w:rPr>
      <w:b/>
      <w:sz w:val="48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/>
    </w:pPr>
    <w:rPr>
      <w:b/>
      <w:i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/>
    </w:pPr>
    <w:rPr>
      <w:b/>
      <w:color w:val="444444"/>
      <w:sz w:val="28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/>
    </w:pPr>
    <w:rPr>
      <w:i/>
      <w:color w:val="232323"/>
      <w:sz w:val="28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/>
    </w:pPr>
    <w:rPr>
      <w:i/>
      <w:color w:val="444444"/>
      <w:sz w:val="23"/>
    </w:rPr>
  </w:style>
  <w:style w:type="character" w:customStyle="1" w:styleId="2">
    <w:name w:val="Заголовок 2 Знак"/>
    <w:basedOn w:val="a0"/>
    <w:uiPriority w:val="9"/>
    <w:semiHidden/>
    <w:rPr>
      <w:rFonts w:ascii="Cambria" w:eastAsia="Cambria" w:hAnsi="Cambria" w:cs="Cambria" w:hint="cs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sz w:val="72"/>
    </w:rPr>
  </w:style>
  <w:style w:type="paragraph" w:styleId="a4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6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enStyleDefTableGrid0">
    <w:name w:val="GenStyleDefTableGrid_0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Balloon Text"/>
    <w:basedOn w:val="a"/>
    <w:uiPriority w:val="99"/>
    <w:semiHidden/>
    <w:unhideWhenUsed/>
    <w:pPr>
      <w:widowControl/>
    </w:pPr>
    <w:rPr>
      <w:rFonts w:ascii="Tahoma" w:eastAsia="Calibri" w:hAnsi="Tahoma" w:cs="Tahoma" w:hint="cs"/>
      <w:sz w:val="16"/>
      <w:szCs w:val="16"/>
      <w:lang w:eastAsia="en-US"/>
    </w:rPr>
  </w:style>
  <w:style w:type="character" w:customStyle="1" w:styleId="a9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aa">
    <w:name w:val="Знак Знак Знак Знак Знак Знак"/>
    <w:basedOn w:val="a"/>
    <w:pPr>
      <w:widowControl/>
      <w:spacing w:after="160" w:line="240" w:lineRule="exact"/>
    </w:pPr>
    <w:rPr>
      <w:rFonts w:eastAsia="SimSun" w:hint="cs"/>
      <w:b/>
      <w:sz w:val="28"/>
      <w:szCs w:val="24"/>
      <w:lang w:val="en-US" w:eastAsia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NoSpacingChar">
    <w:name w:val="No Spacing Char"/>
    <w:basedOn w:val="a0"/>
    <w:rPr>
      <w:rFonts w:ascii="Calibri" w:hAnsi="Calibri" w:hint="cs"/>
    </w:rPr>
  </w:style>
  <w:style w:type="paragraph" w:customStyle="1" w:styleId="ac">
    <w:name w:val="Знак"/>
    <w:basedOn w:val="a"/>
    <w:next w:val="21"/>
    <w:pPr>
      <w:widowControl/>
      <w:spacing w:after="160" w:line="240" w:lineRule="exact"/>
    </w:pPr>
    <w:rPr>
      <w:sz w:val="28"/>
      <w:szCs w:val="28"/>
      <w:lang w:eastAsia="en-US"/>
    </w:rPr>
  </w:style>
  <w:style w:type="paragraph" w:customStyle="1" w:styleId="ad">
    <w:name w:val="Знак Знак Знак"/>
    <w:basedOn w:val="a"/>
    <w:next w:val="21"/>
    <w:pPr>
      <w:widowControl/>
      <w:spacing w:after="160" w:line="240" w:lineRule="exact"/>
      <w:jc w:val="center"/>
    </w:pPr>
    <w:rPr>
      <w:b/>
      <w:bCs/>
      <w:i/>
      <w:iCs/>
      <w:sz w:val="28"/>
      <w:szCs w:val="28"/>
      <w:lang w:val="en-US" w:eastAsia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 w:hint="default"/>
      <w:sz w:val="20"/>
      <w:szCs w:val="20"/>
      <w:lang w:eastAsia="ru-RU"/>
    </w:rPr>
  </w:style>
  <w:style w:type="paragraph" w:styleId="ae">
    <w:name w:val="Body Text"/>
    <w:basedOn w:val="a"/>
    <w:pPr>
      <w:widowControl/>
      <w:jc w:val="both"/>
    </w:pPr>
    <w:rPr>
      <w:rFonts w:eastAsia="Calibri"/>
      <w:sz w:val="28"/>
    </w:rPr>
  </w:style>
  <w:style w:type="character" w:customStyle="1" w:styleId="af">
    <w:name w:val="Основной текст Знак"/>
    <w:basedOn w:val="a0"/>
    <w:rPr>
      <w:rFonts w:ascii="Times New Roman" w:eastAsia="Calibri" w:hAnsi="Times New Roman" w:cs="Times New Roman" w:hint="cs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uiPriority w:val="99"/>
    <w:rPr>
      <w:rFonts w:ascii="Times New Roman" w:eastAsia="Times New Roman" w:hAnsi="Times New Roman" w:cs="Times New Roman" w:hint="cs"/>
      <w:sz w:val="20"/>
      <w:szCs w:val="20"/>
      <w:lang w:eastAsia="ru-RU"/>
    </w:r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uiPriority w:val="99"/>
    <w:rPr>
      <w:rFonts w:ascii="Times New Roman" w:eastAsia="Times New Roman" w:hAnsi="Times New Roman" w:cs="Times New Roman" w:hint="c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9455</Characters>
  <Application>Microsoft Office Word</Application>
  <DocSecurity>0</DocSecurity>
  <Lines>78</Lines>
  <Paragraphs>22</Paragraphs>
  <ScaleCrop>false</ScaleCrop>
  <Company>Ascensio System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МАКПАЛ БОЛАТОВНА</dc:creator>
  <cp:lastModifiedBy>ВАКАНСИЯ</cp:lastModifiedBy>
  <cp:revision>2</cp:revision>
  <dcterms:created xsi:type="dcterms:W3CDTF">2016-08-15T04:05:00Z</dcterms:created>
  <dcterms:modified xsi:type="dcterms:W3CDTF">2016-08-15T04:05:00Z</dcterms:modified>
</cp:coreProperties>
</file>