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80" w:rsidRPr="00072628" w:rsidRDefault="00984AE0" w:rsidP="00BA6BF1">
      <w:pPr>
        <w:pStyle w:val="a3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Анализ</w:t>
      </w:r>
    </w:p>
    <w:p w:rsidR="00ED545B" w:rsidRPr="00072628" w:rsidRDefault="00984AE0" w:rsidP="00BA6BF1">
      <w:pPr>
        <w:pStyle w:val="a3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практики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отложени</w:t>
      </w:r>
      <w:r>
        <w:rPr>
          <w:rFonts w:ascii="Arial" w:hAnsi="Arial" w:cs="Arial"/>
          <w:b/>
          <w:color w:val="000000" w:themeColor="text1"/>
          <w:sz w:val="28"/>
          <w:szCs w:val="28"/>
        </w:rPr>
        <w:t>я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судами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республики</w:t>
      </w:r>
    </w:p>
    <w:p w:rsidR="004B493C" w:rsidRPr="00072628" w:rsidRDefault="00984AE0" w:rsidP="00BA6BF1">
      <w:pPr>
        <w:pStyle w:val="a3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разбирательства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по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граждански</w:t>
      </w:r>
      <w:r>
        <w:rPr>
          <w:rFonts w:ascii="Arial" w:hAnsi="Arial" w:cs="Arial"/>
          <w:b/>
          <w:color w:val="000000" w:themeColor="text1"/>
          <w:sz w:val="28"/>
          <w:szCs w:val="28"/>
        </w:rPr>
        <w:t>м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дел</w:t>
      </w:r>
      <w:r>
        <w:rPr>
          <w:rFonts w:ascii="Arial" w:hAnsi="Arial" w:cs="Arial"/>
          <w:b/>
          <w:color w:val="000000" w:themeColor="text1"/>
          <w:sz w:val="28"/>
          <w:szCs w:val="28"/>
        </w:rPr>
        <w:t>ам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за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2016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год</w:t>
      </w:r>
    </w:p>
    <w:p w:rsidR="00EE4CEC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72B2C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Конституционное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право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судебную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защиту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реализ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уется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путем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предоставления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каж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дому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возможности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беспрепятственно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обратиться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защитой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нарушенных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прав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законных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интересов.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63CDA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hl"/>
          <w:rFonts w:ascii="Arial" w:hAnsi="Arial" w:cs="Arial"/>
          <w:color w:val="000000" w:themeColor="text1"/>
          <w:sz w:val="28"/>
          <w:szCs w:val="28"/>
        </w:rPr>
        <w:t>Рассмотрение любого с</w:t>
      </w:r>
      <w:r w:rsidRPr="00072628">
        <w:rPr>
          <w:rStyle w:val="hl"/>
          <w:rFonts w:ascii="Arial" w:hAnsi="Arial" w:cs="Arial"/>
          <w:color w:val="000000" w:themeColor="text1"/>
          <w:sz w:val="28"/>
          <w:szCs w:val="28"/>
        </w:rPr>
        <w:t>удебного</w:t>
      </w:r>
      <w:r w:rsidRPr="0007262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спора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завершается в суде вынесением судебного акта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этом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отношение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суду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зависит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только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</w:t>
      </w:r>
      <w:r w:rsidRPr="0007262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Style w:val="hl"/>
          <w:rFonts w:ascii="Arial" w:hAnsi="Arial" w:cs="Arial"/>
          <w:color w:val="000000" w:themeColor="text1"/>
          <w:sz w:val="28"/>
          <w:szCs w:val="28"/>
        </w:rPr>
        <w:t>законности</w:t>
      </w:r>
      <w:r w:rsidRPr="0007262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ебного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решения,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того,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насколько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хорошо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организовано</w:t>
      </w:r>
      <w:r w:rsidRPr="0007262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Style w:val="hl"/>
          <w:rFonts w:ascii="Arial" w:hAnsi="Arial" w:cs="Arial"/>
          <w:color w:val="000000" w:themeColor="text1"/>
          <w:sz w:val="28"/>
          <w:szCs w:val="28"/>
        </w:rPr>
        <w:t>судопроизводство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оперативно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ли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осуществ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лялось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правосудие.</w:t>
      </w:r>
    </w:p>
    <w:p w:rsidR="001111D8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Сокращение с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роков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</w:t>
      </w:r>
      <w:r>
        <w:rPr>
          <w:rFonts w:ascii="Arial" w:hAnsi="Arial" w:cs="Arial"/>
          <w:color w:val="000000" w:themeColor="text1"/>
          <w:sz w:val="28"/>
          <w:szCs w:val="28"/>
        </w:rPr>
        <w:t>зрешения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гражданск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о-правовых споров является одним из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приоритетны</w:t>
      </w:r>
      <w:r>
        <w:rPr>
          <w:rFonts w:ascii="Arial" w:hAnsi="Arial" w:cs="Arial"/>
          <w:color w:val="000000" w:themeColor="text1"/>
          <w:sz w:val="28"/>
          <w:szCs w:val="28"/>
        </w:rPr>
        <w:t>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направлени</w:t>
      </w:r>
      <w:r>
        <w:rPr>
          <w:rFonts w:ascii="Arial" w:hAnsi="Arial" w:cs="Arial"/>
          <w:color w:val="000000" w:themeColor="text1"/>
          <w:sz w:val="28"/>
          <w:szCs w:val="28"/>
        </w:rPr>
        <w:t>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совершенствования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судебной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деятельности.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F5D58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Согласно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ст.198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ГПК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разбирательства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допускается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случаях,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предусмотренных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Кодексом,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также,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если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сочтет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невозможным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рассмотрение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этом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судебном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заседании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вследствие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неявки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кого-либо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из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участников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процесса,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предъявления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встречного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иска,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необходимости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представления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или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истребования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дополнительных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доказат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ельств,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привлечения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участию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других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лиц,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совершения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каких-либо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процессуальных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действий.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D1E37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Целью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анализа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является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выявление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причин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судебных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заседаний,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изучение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эффективности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действующих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норм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об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отложении,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контроль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над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своевременным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рассмотрением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судами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предотвращение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волокиты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также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формирование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единообразной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практики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путем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четкой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регламентации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судебных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действий.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8661CA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В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пункт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13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Нормативного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постановления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Верховного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Суда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от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 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20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марта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2003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года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№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2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«О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применении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судами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некоторых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норм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гражданского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процессуального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законодательства»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>были</w:t>
      </w:r>
      <w:r w:rsidRPr="00072628">
        <w:rPr>
          <w:rStyle w:val="s1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внесены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изменения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и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дополнения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hyperlink r:id="rId9" w:history="1">
        <w:r w:rsidRPr="00072628">
          <w:rPr>
            <w:rStyle w:val="af2"/>
            <w:rFonts w:ascii="Arial" w:hAnsi="Arial" w:cs="Arial"/>
            <w:color w:val="000000" w:themeColor="text1"/>
            <w:sz w:val="28"/>
            <w:szCs w:val="28"/>
            <w:u w:val="none"/>
          </w:rPr>
          <w:t>нормативным</w:t>
        </w:r>
        <w:r w:rsidRPr="00072628">
          <w:rPr>
            <w:rStyle w:val="af2"/>
            <w:rFonts w:ascii="Arial" w:hAnsi="Arial" w:cs="Arial"/>
            <w:color w:val="000000" w:themeColor="text1"/>
            <w:sz w:val="28"/>
            <w:szCs w:val="28"/>
            <w:u w:val="none"/>
          </w:rPr>
          <w:t xml:space="preserve"> </w:t>
        </w:r>
        <w:r w:rsidRPr="00072628">
          <w:rPr>
            <w:rStyle w:val="af2"/>
            <w:rFonts w:ascii="Arial" w:hAnsi="Arial" w:cs="Arial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Верховного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Суда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от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20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мая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2016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г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ода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№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3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,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согласно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котор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ому отложение судебных разбирательств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по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граждански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должно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072628">
        <w:rPr>
          <w:rFonts w:ascii="Arial" w:hAnsi="Arial" w:cs="Arial"/>
          <w:color w:val="000000" w:themeColor="text1"/>
          <w:sz w:val="28"/>
          <w:szCs w:val="28"/>
        </w:rPr>
        <w:t>превышать</w:t>
      </w:r>
      <w:proofErr w:type="gramEnd"/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как правило,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четырех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раз.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Кроме того, введен мониторинг исполнения названного нормативного постановления, данные которого используются экспертами международных организаций при формировании рейтинга «Doing Business».</w:t>
      </w:r>
    </w:p>
    <w:p w:rsidR="008F0740" w:rsidRPr="00072628" w:rsidRDefault="00984AE0" w:rsidP="00BA6BF1">
      <w:pPr>
        <w:pStyle w:val="a3"/>
        <w:ind w:firstLine="709"/>
        <w:jc w:val="both"/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В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этой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связи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увеличилось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количество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дел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,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рассма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тр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иваемых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в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крат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к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ие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сроки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как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большинстве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отдельных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областных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судов,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так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целом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республике.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Вместе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с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тем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имеется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небольш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ая часть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дел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,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рассматриваемых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в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нескольких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судебных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заседаниях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,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по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различным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072628">
        <w:rPr>
          <w:rStyle w:val="s3"/>
          <w:rFonts w:ascii="Arial" w:hAnsi="Arial" w:cs="Arial"/>
          <w:i w:val="0"/>
          <w:iCs w:val="0"/>
          <w:color w:val="000000" w:themeColor="text1"/>
          <w:sz w:val="28"/>
          <w:szCs w:val="28"/>
        </w:rPr>
        <w:t>причинам.</w:t>
      </w:r>
    </w:p>
    <w:p w:rsidR="00F858B9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Практика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судами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разбирательства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гражданского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проанализирована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посредством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изучения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судебных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актов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базы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lastRenderedPageBreak/>
        <w:t>данных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ЕАИАС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(далее</w:t>
      </w:r>
      <w:r w:rsidRPr="00986895">
        <w:rPr>
          <w:rFonts w:ascii="Arial" w:hAnsi="Arial" w:cs="Arial"/>
          <w:color w:val="000000" w:themeColor="text1"/>
          <w:sz w:val="24"/>
          <w:szCs w:val="28"/>
        </w:rPr>
        <w:t xml:space="preserve"> –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Единая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автоматизированная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информационно-аналитическая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систем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судебных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органов)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2016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год.</w:t>
      </w:r>
    </w:p>
    <w:p w:rsidR="001C0C0D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Согласно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данным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ЕАИАС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2016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году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судами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первой инстанции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республики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всего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рассмотрено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764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994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гражданских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из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них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отложением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разбирательства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рассмотрено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136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189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или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17,8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%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(2015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году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–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166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597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или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24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5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%).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C0C0D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разрезе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регионов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данные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выглядят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следующим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образом: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442AA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4710D" w:rsidRPr="00072628" w:rsidRDefault="00984AE0" w:rsidP="00BA6BF1">
      <w:pPr>
        <w:pStyle w:val="a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5254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955675</wp:posOffset>
                </wp:positionV>
                <wp:extent cx="3023870" cy="590931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5909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ВКО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Костанайская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Павлодарская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ЮКО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Алматы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ЗКО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Среднереспубликанский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показатель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Мангистауская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Акмолинская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Астана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Карагандинская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Актюбинская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Жамбылская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Алматинская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СКО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Атырауская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Кызылординская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Военные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суды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5" type="#_x0000_t202" style="height:465.3pt;margin-left:-6pt;margin-top:75.25pt;mso-wrap-distance-bottom:0;mso-wrap-distance-left:9pt;mso-wrap-distance-right:9pt;mso-wrap-distance-top:0;mso-wrap-style:square;position:absolute;v-text-anchor:top;visibility:visible;width:238.1pt;z-index:251665408" filled="f" stroked="f">
                <v:textbox style="mso-fit-shape-to-text:t">
                  <w:txbxContent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ВКО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Костанайская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Павлодарская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ЮКО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.А</w:t>
                      </w: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лматы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ЗКО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Среднереспубликанский показатель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Мангистауская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Акмолинская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.А</w:t>
                      </w: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стана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Карагандинская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Актюбинская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Жамбылская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Алматинская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СКО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Атырауская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Кызылординская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Военные суды</w:t>
                      </w:r>
                    </w:p>
                  </w:txbxContent>
                </v:textbox>
              </v:shape>
            </w:pict>
          </mc:Fallback>
        </mc:AlternateContent>
      </w:r>
      <w:r w:rsidRPr="00B45254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3600" cy="7096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710D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C7156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lastRenderedPageBreak/>
        <w:t>За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2016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год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наибольшее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количество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рассмотренных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отложением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разбирательства,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приходится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военные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суды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–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576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или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31,1%,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суды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Кызылординской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–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270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или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26,1%,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Атырауской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–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4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566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или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25,7%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областей.</w:t>
      </w:r>
    </w:p>
    <w:p w:rsidR="00CC7156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Напротив,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меньше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откладывалось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ходе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рассмотрения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судах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Восточно-Казахстанской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(11,3%)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Костанайской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(12,1%)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областей.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869E4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Необходимо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отметить,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что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количество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гражданских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ежегодно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увеличивается. 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2015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году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рассмотрено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680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903,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2016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году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–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764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994.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Однако,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несмотря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увеличение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нагрузки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судей,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наблюдается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тенденция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улучшению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сроков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рассмотрения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гражданских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B0467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Данные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количестве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рассмотрен</w:t>
      </w:r>
      <w:r>
        <w:rPr>
          <w:rFonts w:ascii="Arial" w:hAnsi="Arial" w:cs="Arial"/>
          <w:color w:val="000000" w:themeColor="text1"/>
          <w:sz w:val="28"/>
          <w:szCs w:val="28"/>
        </w:rPr>
        <w:t>ных с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</w:t>
      </w:r>
      <w:r>
        <w:rPr>
          <w:rFonts w:ascii="Arial" w:hAnsi="Arial" w:cs="Arial"/>
          <w:color w:val="000000" w:themeColor="text1"/>
          <w:sz w:val="28"/>
          <w:szCs w:val="28"/>
        </w:rPr>
        <w:t>ием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отражены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таблице.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B0467" w:rsidRDefault="00984AE0" w:rsidP="00BA6BF1">
      <w:pPr>
        <w:pStyle w:val="a3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B0467" w:rsidRPr="00072628" w:rsidRDefault="00984AE0" w:rsidP="00BA6BF1">
      <w:pPr>
        <w:pStyle w:val="a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5254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2301875</wp:posOffset>
                </wp:positionV>
                <wp:extent cx="71755" cy="94615"/>
                <wp:effectExtent l="0" t="0" r="23495" b="19685"/>
                <wp:wrapNone/>
                <wp:docPr id="9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9461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6" o:spid="_x0000_s1026" style="height:7.45pt;margin-left:409.3pt;margin-top:181.25pt;mso-wrap-distance-bottom:0;mso-wrap-distance-left:9pt;mso-wrap-distance-right:9pt;mso-wrap-distance-top:0;mso-wrap-style:square;position:absolute;v-text-anchor:middle;visibility:visible;width:5.65pt;z-index:251663360" fillcolor="#0cf" strokecolor="#243f60" strokeweight="0.25pt"/>
            </w:pict>
          </mc:Fallback>
        </mc:AlternateContent>
      </w:r>
      <w:r w:rsidRPr="00B45254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2466018</wp:posOffset>
                </wp:positionV>
                <wp:extent cx="71755" cy="94615"/>
                <wp:effectExtent l="0" t="0" r="23495" b="19685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946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5" o:spid="_x0000_s1027" style="height:7.45pt;margin-left:409.3pt;margin-top:194.15pt;mso-wrap-distance-bottom:0;mso-wrap-distance-left:9pt;mso-wrap-distance-right:9pt;mso-wrap-distance-top:0;mso-wrap-style:square;position:absolute;v-text-anchor:middle;visibility:visible;width:5.65pt;z-index:251661312" fillcolor="red" strokecolor="#243f60" strokeweight="0.25pt"/>
            </w:pict>
          </mc:Fallback>
        </mc:AlternateContent>
      </w:r>
      <w:r w:rsidRPr="00B45254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34075" cy="41148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45254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4982627</wp:posOffset>
                </wp:positionH>
                <wp:positionV relativeFrom="paragraph">
                  <wp:posOffset>2227769</wp:posOffset>
                </wp:positionV>
                <wp:extent cx="1224136" cy="400110"/>
                <wp:effectExtent l="0" t="0" r="0" b="0"/>
                <wp:wrapNone/>
                <wp:docPr id="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13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2015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45254" w:rsidRDefault="00984AE0" w:rsidP="00B45254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2016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8" type="#_x0000_t202" style="height:31.5pt;margin-left:392.35pt;margin-top:175.4pt;mso-wrap-distance-bottom:0;mso-wrap-distance-left:9pt;mso-wrap-distance-right:9pt;mso-wrap-distance-top:0;mso-wrap-style:square;position:absolute;v-text-anchor:top;visibility:visible;width:96.4pt;z-index:251659264" filled="f" stroked="f">
                <v:textbox style="mso-fit-shape-to-text:t">
                  <w:txbxContent>
                    <w:p w:rsidR="00B45254" w:rsidP="00B452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2015 г.</w:t>
                      </w:r>
                    </w:p>
                    <w:p w:rsidR="00B45254" w:rsidP="00B452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</w:p>
    <w:p w:rsidR="000D1E9E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F1EAD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Выборочное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изучение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материалов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базе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данных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ЕАИАС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показало,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что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ходе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рассмотрения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неоднократно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откладываются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(от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1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1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3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раз)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как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объективным,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так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субъективным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причинам.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B297A" w:rsidRPr="00072628" w:rsidRDefault="00984AE0" w:rsidP="00BA6BF1">
      <w:pPr>
        <w:pStyle w:val="a3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Примеры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из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практики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судов</w:t>
      </w:r>
    </w:p>
    <w:p w:rsidR="00CB297A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1.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иску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Куримбаева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С.Т.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Айдосовой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Б.П.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др.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выселении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рассмотре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тринадцати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судебных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заседаниях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(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Махтаральский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районный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ЮКО,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судья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Утемисов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А.У.).</w:t>
      </w:r>
    </w:p>
    <w:p w:rsidR="00CB297A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Так,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принято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производство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судьи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10.06.2016г.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Предварительное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слушание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назначено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16.06.2016г.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осле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чего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два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lastRenderedPageBreak/>
        <w:t>раза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для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истребования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доказательств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(21.06.16г.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29.06.2016г.).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11.07.16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03.08.2016г.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для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прими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сторон.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Затем,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03.08.16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приостановлено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разрешения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апелляционной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инстанцией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ходатайства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ответчика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признании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недействительным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торгов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жилого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дома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через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электронный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аукцион.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19.09.2016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года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производство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возобновлено.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назначено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22.09.2016г.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После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чего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обратно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было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раз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для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истребования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доп</w:t>
      </w:r>
      <w:bookmarkStart w:id="0" w:name="_GoBack"/>
      <w:bookmarkEnd w:id="0"/>
      <w:r w:rsidRPr="00072628">
        <w:rPr>
          <w:rFonts w:ascii="Arial" w:hAnsi="Arial" w:cs="Arial"/>
          <w:color w:val="000000" w:themeColor="text1"/>
          <w:sz w:val="28"/>
          <w:szCs w:val="28"/>
        </w:rPr>
        <w:t>олнительных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документов,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Далее,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26.10.16г.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рассмотрение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откладывалось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27.10.2016г.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предоставлением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времени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для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прений,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27.10.2016г.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28.10.2016г.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для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дачи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прокурором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заключения.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Таким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образом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решение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вынесено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28.10.2016г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т.е.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истечении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более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4-х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месяцев.</w:t>
      </w:r>
    </w:p>
    <w:p w:rsidR="00415A64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2.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Гражданское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иску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Денисова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В.Н.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Гасанову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А.М.,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Управлению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юстиции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Илийского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района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др.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признании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договора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купли-продажи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земельным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участком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незаконным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рассматривалось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двенадцати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судебных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заседаниях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(Илийский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районный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Алматинской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области,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судья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Ажибаева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Г.Р.).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15A64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Так,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25.03.2016г.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принято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производство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судьи.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12.04.2016г.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из-за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неявки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ответчиков,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после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18.04.2016г.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по ходатайству сторон рассмотрение дела откладывалось 7 раз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для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истребования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дополнительных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материалов,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а затем еще 2 раза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ввиду неявки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ответчиков.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двенадцатом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заседани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13.06.2016г.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вынесено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решение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15A64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3.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Гражданское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иску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ТОО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«Региональный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зерновой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холдинг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СКО»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ТОО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«СәттіЖер»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взыскании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суммы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задолженности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рассматривалось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десяти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судебных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заседаниях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(СМЭС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СКО,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судья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Кожахметова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А.К.)</w:t>
      </w:r>
    </w:p>
    <w:p w:rsidR="00415A64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Дело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принято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производству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08.08.2016г.,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предварительное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судебное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заседание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назначено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29.08.2016г.</w:t>
      </w:r>
    </w:p>
    <w:p w:rsidR="00943FB8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Определением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29.08.2016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судебное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заседание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назначено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14.09.2016г.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днако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04.10.2016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для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предоставления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дополнительных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доказательств.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04.10.2016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07.10.2016г.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для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предоставления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возможности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заключения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мирового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соглашения.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После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чего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откладывалось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12.10.2016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для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подготовки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вопросов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экспертизу.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этот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же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день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был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объяв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лен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перерыв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для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подготовки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истцом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заявления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об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оставлении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искового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заявл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без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рассмотрения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или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заключения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мирового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соглашения.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Далее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дело было отложено еще 4 раза, в результате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решение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вынесено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26.10.2016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52E5F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4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Гражданское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иску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Оспанова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войсковой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части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74884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возмещении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причиненного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вреда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разрешено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девяти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судебных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заседаниях,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(Военный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Шымкентского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гарнизона,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судья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Усманова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Г.Т.).</w:t>
      </w:r>
    </w:p>
    <w:p w:rsidR="006D1C15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lastRenderedPageBreak/>
        <w:t>01.06.2016г.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принято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производство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судьи.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Предварительное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судебное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слушание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проведено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13.06.2016г.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Далее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судебные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заседания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откладывались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связи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неявкой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сторон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(3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раз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),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ходатайств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сторон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(3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раз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).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Решение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делу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принято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29.07.201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г.</w:t>
      </w:r>
    </w:p>
    <w:p w:rsidR="00952AA6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Аналогичные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факты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были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обнаружены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другим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неоднократно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отложенным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делам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C3BDC" w:rsidRPr="00072628" w:rsidRDefault="00984AE0" w:rsidP="00BC3BDC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ак показал анализ, неявка сторон встречается достаточно часто и является основной причиной отложения разбирательств по гражданским делам и, соответственно, увеличения продолжительности судопроизводства. </w:t>
      </w:r>
    </w:p>
    <w:p w:rsidR="00BC3BDC" w:rsidRPr="0048474F" w:rsidRDefault="00984AE0" w:rsidP="00BC3BDC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Необходимо отметить, что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повышению оперативности рас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смотрения дел способствует и электронное</w:t>
      </w:r>
      <w:r w:rsidRPr="0007262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оповещени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</w:t>
      </w:r>
      <w:r w:rsidRPr="0007262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участников судебного процесса посредством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SMS</w:t>
      </w:r>
      <w:r w:rsidRPr="0007262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–сообщений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Pr="0007262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 2016 году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только по гражданским делам </w:t>
      </w:r>
      <w:r w:rsidRPr="0007262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посредством «Судебного кабинета» судами республики направлено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1</w:t>
      </w:r>
      <w:r>
        <w:rPr>
          <w:rFonts w:ascii="Arial" w:hAnsi="Arial" w:cs="Arial"/>
          <w:color w:val="000000" w:themeColor="text1"/>
          <w:sz w:val="28"/>
          <w:szCs w:val="28"/>
        </w:rPr>
        <w:t> 227 785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SMS-</w:t>
      </w:r>
      <w:r w:rsidRPr="0007262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извещений.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BC3BDC" w:rsidRPr="00072628" w:rsidRDefault="00984AE0" w:rsidP="00BC3BDC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7262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 xml:space="preserve">О среднем </w:t>
      </w:r>
      <w:r w:rsidRPr="0007262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количестве судебных извещений можно проследить по следующей таблице:</w:t>
      </w:r>
    </w:p>
    <w:p w:rsidR="00BC3BDC" w:rsidRDefault="00984AE0" w:rsidP="00BC3BD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C3BDC" w:rsidRPr="00F97F8F" w:rsidRDefault="00984AE0" w:rsidP="00BC3BD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97F8F">
        <w:rPr>
          <w:rFonts w:ascii="Arial" w:hAnsi="Arial" w:cs="Arial"/>
          <w:b/>
          <w:color w:val="000000" w:themeColor="text1"/>
          <w:sz w:val="28"/>
          <w:szCs w:val="28"/>
        </w:rPr>
        <w:t>Информация по отправлению судебных извещений судами республики за 2016 год</w:t>
      </w:r>
    </w:p>
    <w:p w:rsidR="00BC3BDC" w:rsidRPr="00072628" w:rsidRDefault="00984AE0" w:rsidP="00BC3BD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af5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1984"/>
        <w:gridCol w:w="1843"/>
      </w:tblGrid>
      <w:tr w:rsidR="006502D8" w:rsidTr="00A95B75">
        <w:trPr>
          <w:trHeight w:val="1050"/>
        </w:trPr>
        <w:tc>
          <w:tcPr>
            <w:tcW w:w="675" w:type="dxa"/>
          </w:tcPr>
          <w:p w:rsidR="00BC3BDC" w:rsidRPr="00E07AFA" w:rsidRDefault="00984AE0" w:rsidP="00A95B75">
            <w:pPr>
              <w:pStyle w:val="a8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2"/>
              </w:rPr>
            </w:pPr>
            <w:r w:rsidRPr="00E07AFA">
              <w:rPr>
                <w:rFonts w:ascii="Arial" w:hAnsi="Arial" w:cs="Arial"/>
                <w:b/>
                <w:color w:val="000000" w:themeColor="text1"/>
                <w:sz w:val="24"/>
                <w:szCs w:val="22"/>
              </w:rPr>
              <w:t>№</w:t>
            </w:r>
          </w:p>
        </w:tc>
        <w:tc>
          <w:tcPr>
            <w:tcW w:w="3119" w:type="dxa"/>
          </w:tcPr>
          <w:p w:rsidR="00BC3BDC" w:rsidRPr="00E07AFA" w:rsidRDefault="00984AE0" w:rsidP="00A95B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2"/>
              </w:rPr>
            </w:pPr>
            <w:r w:rsidRPr="00E07AFA">
              <w:rPr>
                <w:rFonts w:ascii="Arial" w:hAnsi="Arial" w:cs="Arial"/>
                <w:b/>
                <w:color w:val="000000" w:themeColor="text1"/>
                <w:sz w:val="24"/>
                <w:szCs w:val="22"/>
              </w:rPr>
              <w:t>Регион</w:t>
            </w:r>
          </w:p>
        </w:tc>
        <w:tc>
          <w:tcPr>
            <w:tcW w:w="1843" w:type="dxa"/>
          </w:tcPr>
          <w:p w:rsidR="00BC3BDC" w:rsidRPr="00E07AFA" w:rsidRDefault="00984AE0" w:rsidP="00A95B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E07AFA">
              <w:rPr>
                <w:rFonts w:ascii="Arial" w:hAnsi="Arial" w:cs="Arial"/>
                <w:b/>
                <w:color w:val="000000" w:themeColor="text1"/>
                <w:sz w:val="24"/>
                <w:szCs w:val="22"/>
                <w:shd w:val="clear" w:color="auto" w:fill="FFFFFF"/>
              </w:rPr>
              <w:t>Всего рассмотрено с вызовом участников процесса</w:t>
            </w:r>
          </w:p>
          <w:p w:rsidR="00BC3BDC" w:rsidRPr="00E07AFA" w:rsidRDefault="00984AE0" w:rsidP="00A95B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:rsidR="00BC3BDC" w:rsidRPr="00E07AFA" w:rsidRDefault="00984AE0" w:rsidP="00A95B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E07AFA">
              <w:rPr>
                <w:rFonts w:ascii="Arial" w:hAnsi="Arial" w:cs="Arial"/>
                <w:b/>
                <w:color w:val="000000" w:themeColor="text1"/>
                <w:sz w:val="24"/>
                <w:szCs w:val="22"/>
                <w:shd w:val="clear" w:color="auto" w:fill="FFFFFF"/>
              </w:rPr>
              <w:t xml:space="preserve">Направлено  </w:t>
            </w:r>
          </w:p>
          <w:p w:rsidR="00BC3BDC" w:rsidRPr="00E07AFA" w:rsidRDefault="00984AE0" w:rsidP="00A95B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2"/>
              </w:rPr>
            </w:pPr>
            <w:r w:rsidRPr="00E07AFA">
              <w:rPr>
                <w:rFonts w:ascii="Arial" w:hAnsi="Arial" w:cs="Arial"/>
                <w:b/>
                <w:color w:val="000000" w:themeColor="text1"/>
                <w:sz w:val="24"/>
                <w:szCs w:val="22"/>
                <w:shd w:val="clear" w:color="auto" w:fill="FFFFFF"/>
              </w:rPr>
              <w:t>SMS извещений</w:t>
            </w:r>
          </w:p>
        </w:tc>
        <w:tc>
          <w:tcPr>
            <w:tcW w:w="1843" w:type="dxa"/>
          </w:tcPr>
          <w:p w:rsidR="00BC3BDC" w:rsidRPr="00E07AFA" w:rsidRDefault="00984AE0" w:rsidP="00A95B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E07AFA">
              <w:rPr>
                <w:rFonts w:ascii="Arial" w:hAnsi="Arial" w:cs="Arial"/>
                <w:b/>
                <w:color w:val="000000" w:themeColor="text1"/>
                <w:sz w:val="24"/>
                <w:szCs w:val="22"/>
                <w:shd w:val="clear" w:color="auto" w:fill="FFFFFF"/>
              </w:rPr>
              <w:t xml:space="preserve">Среднее количество </w:t>
            </w:r>
            <w:r w:rsidRPr="00E07AFA">
              <w:rPr>
                <w:rFonts w:ascii="Arial" w:hAnsi="Arial" w:cs="Arial"/>
                <w:b/>
                <w:color w:val="000000" w:themeColor="text1"/>
                <w:sz w:val="24"/>
                <w:szCs w:val="22"/>
                <w:shd w:val="clear" w:color="auto" w:fill="FFFFFF"/>
              </w:rPr>
              <w:t>электронных извещений по одному делу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Pr="00072628" w:rsidRDefault="00984AE0" w:rsidP="001016D1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г.Астана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27958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204773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7,3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Pr="00072628" w:rsidRDefault="00984AE0" w:rsidP="001016D1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г.Алматы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38842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175361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Pr="00072628" w:rsidRDefault="00984AE0" w:rsidP="001016D1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Акмолинская область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13969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55364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Pr="00072628" w:rsidRDefault="00984AE0" w:rsidP="001016D1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Актюбинская область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13875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47326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3,4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Pr="00072628" w:rsidRDefault="00984AE0" w:rsidP="001016D1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Алматинская область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22252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53463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2,4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Pr="00072628" w:rsidRDefault="00984AE0" w:rsidP="001016D1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Атырауская область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8684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44433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Pr="00072628" w:rsidRDefault="00984AE0" w:rsidP="001016D1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КО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30038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68605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2,3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Default="00984AE0" w:rsidP="001016D1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Жамбылская область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13541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68038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Pr="00072628" w:rsidRDefault="00984AE0" w:rsidP="001016D1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КО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11263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23579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2,1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Pr="00072628" w:rsidRDefault="00984AE0" w:rsidP="001016D1">
            <w:pPr>
              <w:pStyle w:val="a8"/>
              <w:widowControl/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Карагандинская область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31256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109761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Pr="00072628" w:rsidRDefault="00984AE0" w:rsidP="001016D1">
            <w:pPr>
              <w:pStyle w:val="a8"/>
              <w:widowControl/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Костанайская область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19955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68248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3,4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Pr="00072628" w:rsidRDefault="00984AE0" w:rsidP="001016D1">
            <w:pPr>
              <w:pStyle w:val="a8"/>
              <w:widowControl/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Кызылординская область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14410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30669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2,1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Pr="00072628" w:rsidRDefault="00984AE0" w:rsidP="001016D1">
            <w:pPr>
              <w:pStyle w:val="a8"/>
              <w:widowControl/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Мангистауская область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8447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23326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Pr="00072628" w:rsidRDefault="00984AE0" w:rsidP="001016D1">
            <w:pPr>
              <w:pStyle w:val="a8"/>
              <w:widowControl/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Павлодарская область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17442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67615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3,9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Pr="00072628" w:rsidRDefault="00984AE0" w:rsidP="001016D1">
            <w:pPr>
              <w:pStyle w:val="a8"/>
              <w:widowControl/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КО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13117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37475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2,9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Pr="00072628" w:rsidRDefault="00984AE0" w:rsidP="001016D1">
            <w:pPr>
              <w:pStyle w:val="a8"/>
              <w:widowControl/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Ю</w:t>
            </w:r>
            <w:r>
              <w:rPr>
                <w:rFonts w:ascii="Arial" w:hAnsi="Arial" w:cs="Arial"/>
                <w:sz w:val="24"/>
                <w:szCs w:val="24"/>
              </w:rPr>
              <w:t>КО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26115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144251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Pr="00072628" w:rsidRDefault="00984AE0" w:rsidP="001016D1">
            <w:pPr>
              <w:pStyle w:val="a8"/>
              <w:widowControl/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Военный суд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color w:val="000000" w:themeColor="text1"/>
                <w:sz w:val="24"/>
                <w:szCs w:val="24"/>
              </w:rPr>
              <w:t>1151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FA">
              <w:rPr>
                <w:rFonts w:ascii="Arial" w:hAnsi="Arial" w:cs="Arial"/>
                <w:sz w:val="24"/>
                <w:szCs w:val="24"/>
              </w:rPr>
              <w:t>5498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4,8</w:t>
            </w:r>
          </w:p>
        </w:tc>
      </w:tr>
      <w:tr w:rsidR="006502D8" w:rsidTr="001016D1">
        <w:trPr>
          <w:trHeight w:val="340"/>
        </w:trPr>
        <w:tc>
          <w:tcPr>
            <w:tcW w:w="675" w:type="dxa"/>
            <w:vAlign w:val="center"/>
          </w:tcPr>
          <w:p w:rsidR="00BC3BDC" w:rsidRPr="00072628" w:rsidRDefault="00984AE0" w:rsidP="001016D1">
            <w:pPr>
              <w:pStyle w:val="a8"/>
              <w:widowControl/>
              <w:autoSpaceDE/>
              <w:autoSpaceDN/>
              <w:adjustRightInd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3BDC" w:rsidRPr="00E07AFA" w:rsidRDefault="00984AE0" w:rsidP="001016D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312315</w:t>
            </w:r>
          </w:p>
        </w:tc>
        <w:tc>
          <w:tcPr>
            <w:tcW w:w="1984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7A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1227785</w:t>
            </w:r>
          </w:p>
        </w:tc>
        <w:tc>
          <w:tcPr>
            <w:tcW w:w="1843" w:type="dxa"/>
            <w:vAlign w:val="center"/>
          </w:tcPr>
          <w:p w:rsidR="00BC3BDC" w:rsidRPr="00E07AFA" w:rsidRDefault="00984AE0" w:rsidP="001016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3,9</w:t>
            </w:r>
          </w:p>
        </w:tc>
      </w:tr>
    </w:tbl>
    <w:p w:rsidR="00BC3BDC" w:rsidRPr="00072628" w:rsidRDefault="00984AE0" w:rsidP="00BC3BDC">
      <w:pPr>
        <w:jc w:val="center"/>
        <w:rPr>
          <w:b/>
          <w:color w:val="000000" w:themeColor="text1"/>
          <w:sz w:val="24"/>
          <w:szCs w:val="24"/>
        </w:rPr>
      </w:pPr>
    </w:p>
    <w:p w:rsidR="005F10CA" w:rsidRPr="00072628" w:rsidRDefault="00984AE0" w:rsidP="00BA6BF1">
      <w:pPr>
        <w:pStyle w:val="a3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Выводы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предложения</w:t>
      </w:r>
    </w:p>
    <w:p w:rsidR="0008562D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Одним из условий оперативного и качественного разрешения рассматриваемых в суде споров, является своевременная явка участвующих в деле лиц по вызову суда. Граждане обязаны явиться в судебное разбирательство, если они являются участниками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спора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либо привлеч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ены к участию в гражданском процессе (истцы, ответчики, свидетели, третьи лица).</w:t>
      </w:r>
    </w:p>
    <w:p w:rsidR="006064DA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Причины неявки (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явки с опозданием) граждан, оповещенных о необходимости явиться на судебное разбирательство, часто связаны с недобросовестностью п</w:t>
      </w:r>
      <w:r>
        <w:rPr>
          <w:rFonts w:ascii="Arial" w:hAnsi="Arial" w:cs="Arial"/>
          <w:color w:val="000000" w:themeColor="text1"/>
          <w:sz w:val="28"/>
          <w:szCs w:val="28"/>
        </w:rPr>
        <w:t>ри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исполнени</w:t>
      </w:r>
      <w:r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обязанностей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возложенных на них законодательством. Своевременное реагирование судьями на факты неуважительного отношения к суду способствует повышению эффективности рассмотрения дел. Примером своевременного реагирования на факты по предупреждению неявки граждан являет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ся опыт судов Восточно-Казахстанской области,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 частности Семейско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городско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го суда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где активно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применяется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ст. 653 КоАП.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33A10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Т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ак, в 2016 году судами области по ст. 653 КоАП рассмотрено 325 администрати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вных материалов, что составляет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55% от всех рассмотренн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ых по республике (596). Из них в Семейском городском суде по данной статье рассмотрен 121 административный материал или 37,2% от всех рассмотренных по области (325).</w:t>
      </w:r>
    </w:p>
    <w:p w:rsidR="000D224E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Вместе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тем,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сохраняется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тенденция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увеличению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числа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отложений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судебных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заседаний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ввиду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истребования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сторонами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дополнительных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дока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зательств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(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лица,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участвующие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деле,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активно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пользуются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правом,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предоставленным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ст.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46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ГПК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)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D224E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Также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судебных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заседаний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связано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изменением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предмета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либо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основания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иска,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предъявлением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дополнительных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требований,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заменой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ответчика,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привлечением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участию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соответчиков,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третьих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лиц.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меют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место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случаи,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когда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стороны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изменяют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дополняют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встречные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исковые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требования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неоднократно.</w:t>
      </w:r>
    </w:p>
    <w:p w:rsidR="00412CC6" w:rsidRPr="00D60EEB" w:rsidRDefault="00984AE0" w:rsidP="00BA6BF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60EEB">
        <w:rPr>
          <w:rFonts w:ascii="Arial" w:hAnsi="Arial" w:cs="Arial"/>
          <w:sz w:val="28"/>
          <w:szCs w:val="28"/>
        </w:rPr>
        <w:t>Необходимо</w:t>
      </w:r>
      <w:r w:rsidRPr="00D60EEB">
        <w:rPr>
          <w:rFonts w:ascii="Arial" w:hAnsi="Arial" w:cs="Arial"/>
          <w:sz w:val="28"/>
          <w:szCs w:val="28"/>
        </w:rPr>
        <w:t xml:space="preserve"> </w:t>
      </w:r>
      <w:r w:rsidRPr="00D60EEB">
        <w:rPr>
          <w:rFonts w:ascii="Arial" w:hAnsi="Arial" w:cs="Arial"/>
          <w:sz w:val="28"/>
          <w:szCs w:val="28"/>
        </w:rPr>
        <w:t>отметить,</w:t>
      </w:r>
      <w:r w:rsidRPr="00D60EEB">
        <w:rPr>
          <w:rFonts w:ascii="Arial" w:hAnsi="Arial" w:cs="Arial"/>
          <w:sz w:val="28"/>
          <w:szCs w:val="28"/>
        </w:rPr>
        <w:t xml:space="preserve"> </w:t>
      </w:r>
      <w:r w:rsidRPr="00D60EEB">
        <w:rPr>
          <w:rFonts w:ascii="Arial" w:hAnsi="Arial" w:cs="Arial"/>
          <w:sz w:val="28"/>
          <w:szCs w:val="28"/>
        </w:rPr>
        <w:t>что</w:t>
      </w:r>
      <w:r w:rsidRPr="00D60EEB">
        <w:rPr>
          <w:rFonts w:ascii="Arial" w:hAnsi="Arial" w:cs="Arial"/>
          <w:sz w:val="28"/>
          <w:szCs w:val="28"/>
        </w:rPr>
        <w:t xml:space="preserve"> </w:t>
      </w:r>
      <w:r w:rsidRPr="00D60EEB">
        <w:rPr>
          <w:rFonts w:ascii="Arial" w:hAnsi="Arial" w:cs="Arial"/>
          <w:sz w:val="28"/>
          <w:szCs w:val="28"/>
        </w:rPr>
        <w:t>имеют</w:t>
      </w:r>
      <w:r w:rsidRPr="00D60EEB">
        <w:rPr>
          <w:rFonts w:ascii="Arial" w:hAnsi="Arial" w:cs="Arial"/>
          <w:sz w:val="28"/>
          <w:szCs w:val="28"/>
        </w:rPr>
        <w:t xml:space="preserve"> </w:t>
      </w:r>
      <w:r w:rsidRPr="00D60EEB">
        <w:rPr>
          <w:rFonts w:ascii="Arial" w:hAnsi="Arial" w:cs="Arial"/>
          <w:sz w:val="28"/>
          <w:szCs w:val="28"/>
        </w:rPr>
        <w:t>место</w:t>
      </w:r>
      <w:r w:rsidRPr="00D60EEB">
        <w:rPr>
          <w:rFonts w:ascii="Arial" w:hAnsi="Arial" w:cs="Arial"/>
          <w:sz w:val="28"/>
          <w:szCs w:val="28"/>
        </w:rPr>
        <w:t xml:space="preserve"> </w:t>
      </w:r>
      <w:r w:rsidRPr="00D60EEB">
        <w:rPr>
          <w:rFonts w:ascii="Arial" w:hAnsi="Arial" w:cs="Arial"/>
          <w:sz w:val="28"/>
          <w:szCs w:val="28"/>
        </w:rPr>
        <w:t>факты</w:t>
      </w:r>
      <w:r w:rsidRPr="00D60EEB">
        <w:rPr>
          <w:rFonts w:ascii="Arial" w:hAnsi="Arial" w:cs="Arial"/>
          <w:sz w:val="28"/>
          <w:szCs w:val="28"/>
        </w:rPr>
        <w:t xml:space="preserve"> </w:t>
      </w:r>
      <w:r w:rsidRPr="00D60EEB">
        <w:rPr>
          <w:rFonts w:ascii="Arial" w:hAnsi="Arial" w:cs="Arial"/>
          <w:sz w:val="28"/>
          <w:szCs w:val="28"/>
        </w:rPr>
        <w:t>неоднократных</w:t>
      </w:r>
      <w:r w:rsidRPr="00D60EEB">
        <w:rPr>
          <w:rFonts w:ascii="Arial" w:hAnsi="Arial" w:cs="Arial"/>
          <w:sz w:val="28"/>
          <w:szCs w:val="28"/>
        </w:rPr>
        <w:t xml:space="preserve"> </w:t>
      </w:r>
      <w:r w:rsidRPr="00D60EEB">
        <w:rPr>
          <w:rFonts w:ascii="Arial" w:hAnsi="Arial" w:cs="Arial"/>
          <w:sz w:val="28"/>
          <w:szCs w:val="28"/>
        </w:rPr>
        <w:t>отложений</w:t>
      </w:r>
      <w:r w:rsidRPr="00D60EEB">
        <w:rPr>
          <w:rFonts w:ascii="Arial" w:hAnsi="Arial" w:cs="Arial"/>
          <w:sz w:val="28"/>
          <w:szCs w:val="28"/>
        </w:rPr>
        <w:t xml:space="preserve"> </w:t>
      </w:r>
      <w:r w:rsidRPr="00D60EEB">
        <w:rPr>
          <w:rFonts w:ascii="Arial" w:hAnsi="Arial" w:cs="Arial"/>
          <w:sz w:val="28"/>
          <w:szCs w:val="28"/>
        </w:rPr>
        <w:t>слушаний</w:t>
      </w:r>
      <w:r w:rsidRPr="00D60EEB">
        <w:rPr>
          <w:rFonts w:ascii="Arial" w:hAnsi="Arial" w:cs="Arial"/>
          <w:sz w:val="28"/>
          <w:szCs w:val="28"/>
        </w:rPr>
        <w:t xml:space="preserve"> </w:t>
      </w:r>
      <w:r w:rsidRPr="00D60EEB">
        <w:rPr>
          <w:rFonts w:ascii="Arial" w:hAnsi="Arial" w:cs="Arial"/>
          <w:sz w:val="28"/>
          <w:szCs w:val="28"/>
        </w:rPr>
        <w:t>без</w:t>
      </w:r>
      <w:r w:rsidRPr="00D60EEB">
        <w:rPr>
          <w:rFonts w:ascii="Arial" w:hAnsi="Arial" w:cs="Arial"/>
          <w:sz w:val="28"/>
          <w:szCs w:val="28"/>
        </w:rPr>
        <w:t xml:space="preserve"> </w:t>
      </w:r>
      <w:r w:rsidRPr="00D60EEB">
        <w:rPr>
          <w:rFonts w:ascii="Arial" w:hAnsi="Arial" w:cs="Arial"/>
          <w:sz w:val="28"/>
          <w:szCs w:val="28"/>
        </w:rPr>
        <w:t>указания</w:t>
      </w:r>
      <w:r w:rsidRPr="00D60EEB">
        <w:rPr>
          <w:rFonts w:ascii="Arial" w:hAnsi="Arial" w:cs="Arial"/>
          <w:sz w:val="28"/>
          <w:szCs w:val="28"/>
        </w:rPr>
        <w:t xml:space="preserve"> </w:t>
      </w:r>
      <w:r w:rsidRPr="00D60EEB">
        <w:rPr>
          <w:rFonts w:ascii="Arial" w:hAnsi="Arial" w:cs="Arial"/>
          <w:sz w:val="28"/>
          <w:szCs w:val="28"/>
        </w:rPr>
        <w:t>в</w:t>
      </w:r>
      <w:r w:rsidRPr="00D60EEB">
        <w:rPr>
          <w:rFonts w:ascii="Arial" w:hAnsi="Arial" w:cs="Arial"/>
          <w:sz w:val="28"/>
          <w:szCs w:val="28"/>
        </w:rPr>
        <w:t xml:space="preserve"> </w:t>
      </w:r>
      <w:r w:rsidRPr="00D60EEB">
        <w:rPr>
          <w:rFonts w:ascii="Arial" w:hAnsi="Arial" w:cs="Arial"/>
          <w:sz w:val="28"/>
          <w:szCs w:val="28"/>
        </w:rPr>
        <w:t>протоколе</w:t>
      </w:r>
      <w:r w:rsidRPr="00D60EEB">
        <w:rPr>
          <w:rFonts w:ascii="Arial" w:hAnsi="Arial" w:cs="Arial"/>
          <w:sz w:val="28"/>
          <w:szCs w:val="28"/>
        </w:rPr>
        <w:t xml:space="preserve"> </w:t>
      </w:r>
      <w:r w:rsidRPr="00D60EEB">
        <w:rPr>
          <w:rFonts w:ascii="Arial" w:hAnsi="Arial" w:cs="Arial"/>
          <w:sz w:val="28"/>
          <w:szCs w:val="28"/>
        </w:rPr>
        <w:t>причин</w:t>
      </w:r>
      <w:r w:rsidRPr="00D60EEB">
        <w:rPr>
          <w:rFonts w:ascii="Arial" w:hAnsi="Arial" w:cs="Arial"/>
          <w:sz w:val="28"/>
          <w:szCs w:val="28"/>
        </w:rPr>
        <w:t xml:space="preserve"> </w:t>
      </w:r>
      <w:r w:rsidRPr="00D60EEB">
        <w:rPr>
          <w:rFonts w:ascii="Arial" w:hAnsi="Arial" w:cs="Arial"/>
          <w:sz w:val="28"/>
          <w:szCs w:val="28"/>
        </w:rPr>
        <w:t>отложения.</w:t>
      </w:r>
      <w:r w:rsidRPr="00D60EEB">
        <w:rPr>
          <w:rFonts w:ascii="Arial" w:hAnsi="Arial" w:cs="Arial"/>
          <w:sz w:val="28"/>
          <w:szCs w:val="28"/>
        </w:rPr>
        <w:t xml:space="preserve"> </w:t>
      </w:r>
    </w:p>
    <w:p w:rsidR="00D60EEB" w:rsidRDefault="00984AE0" w:rsidP="00BA6BF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60EEB">
        <w:rPr>
          <w:rFonts w:ascii="Arial" w:hAnsi="Arial" w:cs="Arial"/>
          <w:sz w:val="28"/>
          <w:szCs w:val="28"/>
        </w:rPr>
        <w:t xml:space="preserve">Между тем, по методике </w:t>
      </w:r>
      <w:r>
        <w:rPr>
          <w:rFonts w:ascii="Arial" w:hAnsi="Arial" w:cs="Arial"/>
          <w:sz w:val="28"/>
          <w:szCs w:val="28"/>
        </w:rPr>
        <w:t>международного рейтинга</w:t>
      </w:r>
      <w:r w:rsidRPr="00D60EEB">
        <w:rPr>
          <w:rFonts w:ascii="Arial" w:hAnsi="Arial" w:cs="Arial"/>
          <w:sz w:val="28"/>
          <w:szCs w:val="28"/>
        </w:rPr>
        <w:t xml:space="preserve"> «</w:t>
      </w:r>
      <w:r w:rsidRPr="00D60EEB">
        <w:rPr>
          <w:rFonts w:ascii="Arial" w:hAnsi="Arial" w:cs="Arial"/>
          <w:sz w:val="28"/>
          <w:szCs w:val="28"/>
          <w:lang w:val="en-US"/>
        </w:rPr>
        <w:t>Doing</w:t>
      </w:r>
      <w:r w:rsidRPr="00D60EEB">
        <w:rPr>
          <w:rFonts w:ascii="Arial" w:hAnsi="Arial" w:cs="Arial"/>
          <w:sz w:val="28"/>
          <w:szCs w:val="28"/>
        </w:rPr>
        <w:t xml:space="preserve"> </w:t>
      </w:r>
      <w:r w:rsidRPr="00D60EEB">
        <w:rPr>
          <w:rFonts w:ascii="Arial" w:hAnsi="Arial" w:cs="Arial"/>
          <w:sz w:val="28"/>
          <w:szCs w:val="28"/>
          <w:lang w:val="en-US"/>
        </w:rPr>
        <w:t>Business</w:t>
      </w:r>
      <w:r w:rsidRPr="00D60EEB">
        <w:rPr>
          <w:rFonts w:ascii="Arial" w:hAnsi="Arial" w:cs="Arial"/>
          <w:sz w:val="28"/>
          <w:szCs w:val="28"/>
        </w:rPr>
        <w:t>»,  среди ключевых критериев обеспечения исполнения контрактов, рассматривается и обоснованность отложения судебных разбирательств.  Согласно</w:t>
      </w:r>
      <w:r w:rsidRPr="00D60EEB">
        <w:rPr>
          <w:rFonts w:ascii="Arial" w:hAnsi="Arial" w:cs="Arial"/>
          <w:sz w:val="28"/>
          <w:szCs w:val="28"/>
        </w:rPr>
        <w:t xml:space="preserve"> рекомендациям экспертов рейтинга, положительной практикой является нормативное закрепление правила о том, что начало судебного  заседания может быть отложено только по причине непредвиденных или чрезвычайных обстоятельств. В связи с чем прорабатывается во</w:t>
      </w:r>
      <w:r w:rsidRPr="00D60EEB">
        <w:rPr>
          <w:rFonts w:ascii="Arial" w:hAnsi="Arial" w:cs="Arial"/>
          <w:sz w:val="28"/>
          <w:szCs w:val="28"/>
        </w:rPr>
        <w:t xml:space="preserve">прос о включении  такой нормы в нормативное постановление Верховного Суда. </w:t>
      </w:r>
    </w:p>
    <w:p w:rsidR="00BC3BDC" w:rsidRDefault="00984AE0" w:rsidP="00BA6BF1">
      <w:pPr>
        <w:pStyle w:val="a3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C2337" w:rsidRDefault="00984AE0" w:rsidP="00BA6BF1">
      <w:pPr>
        <w:pStyle w:val="a3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C2337" w:rsidRDefault="00984AE0" w:rsidP="00BA6BF1">
      <w:pPr>
        <w:pStyle w:val="a3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C2337" w:rsidRDefault="00984AE0" w:rsidP="00BA6BF1">
      <w:pPr>
        <w:pStyle w:val="a3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B06A1" w:rsidRPr="00072628" w:rsidRDefault="00984AE0" w:rsidP="00BA6BF1">
      <w:pPr>
        <w:pStyle w:val="a3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С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учетом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изложенного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предлагается:</w:t>
      </w:r>
    </w:p>
    <w:p w:rsidR="00225784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1)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направить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настоящий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анализ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судебную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коллегию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гражданским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делам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Верховного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областные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приравненные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ним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суды.</w:t>
      </w:r>
    </w:p>
    <w:p w:rsidR="003B4D69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2)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Департаменту изучить и проработать с Министерством финансов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вопрос об использовании данных фискальных служб о местонахождении налогоплательщиков; обеспечить технические возможности использования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судами сведений о временной регистрации граждан;</w:t>
      </w:r>
    </w:p>
    <w:p w:rsidR="00225784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3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) рекомендо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вать 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бластным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приравненным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ним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судам:</w:t>
      </w:r>
    </w:p>
    <w:p w:rsidR="00225784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- усилить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меры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обеспечению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качественной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своевременной подготовки и разбирательства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гражданских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районных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судах;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064DA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- в целях  обеспечения максимальной явки в судебное заседание граждан использовать опыт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Семейского городского суда по привлечению к административной ответств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нности за неуважение к суду;</w:t>
      </w:r>
    </w:p>
    <w:p w:rsidR="00225784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- обеспечить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ежемесячный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контроль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соблюдения требований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ГПК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нормативного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постановления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Верховного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Суда,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регламентирующих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отложение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судебных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разбирательств;</w:t>
      </w:r>
    </w:p>
    <w:p w:rsidR="00C262A5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-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изучить практику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использования районными судами возможностей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сервиса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«Судебный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кабинет»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«Мобильная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версия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Судебного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кабинета»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для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извещения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пользователей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через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Push-уведомления,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SMS-извещений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гибридной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электронной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почт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ы;</w:t>
      </w:r>
    </w:p>
    <w:p w:rsidR="00EF206E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- провести обучающие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мероприятия для судей первой инстанции по использованию предоставленной ст.164 ГПК возможности продления по особо сложным делам срока проведения предварительного судебного заседания;</w:t>
      </w:r>
    </w:p>
    <w:p w:rsidR="003B1334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4)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удьям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местных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судов:</w:t>
      </w:r>
    </w:p>
    <w:p w:rsidR="008B3EAC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- исключить отложения судебных заседаний на длительные периоды без достаточных на то оснований; </w:t>
      </w:r>
    </w:p>
    <w:p w:rsidR="003C4C9B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-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ука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зыва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ть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протоколе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причины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отложения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судебного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заседания;</w:t>
      </w:r>
    </w:p>
    <w:p w:rsidR="00412CC6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-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оперативно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надлежащим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образом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извещать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участников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процесса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времени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месте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ссмотрения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дела;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24C7A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-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прин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имать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должные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мер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ы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реагирования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факты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неявки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участников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гражданского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процесса.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24C7A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4518E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color w:val="000000" w:themeColor="text1"/>
          <w:sz w:val="28"/>
          <w:szCs w:val="28"/>
        </w:rPr>
        <w:t>Приложение: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таблицы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на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2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color w:val="000000" w:themeColor="text1"/>
          <w:sz w:val="28"/>
          <w:szCs w:val="28"/>
        </w:rPr>
        <w:t>листах.</w:t>
      </w:r>
    </w:p>
    <w:p w:rsidR="000E2536" w:rsidRPr="00072628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91115" w:rsidRPr="00BA6BF1" w:rsidRDefault="00984AE0" w:rsidP="00BA6BF1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425EF" w:rsidRPr="00072628" w:rsidRDefault="00984AE0" w:rsidP="00BA6BF1">
      <w:pPr>
        <w:pStyle w:val="a3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Отдел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анализа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72628">
        <w:rPr>
          <w:rFonts w:ascii="Arial" w:hAnsi="Arial" w:cs="Arial"/>
          <w:b/>
          <w:color w:val="000000" w:themeColor="text1"/>
          <w:sz w:val="28"/>
          <w:szCs w:val="28"/>
        </w:rPr>
        <w:t>планирования</w:t>
      </w:r>
    </w:p>
    <w:p w:rsidR="00C425EF" w:rsidRPr="00072628" w:rsidRDefault="00984AE0" w:rsidP="00072628">
      <w:pPr>
        <w:pStyle w:val="a3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C425EF" w:rsidRPr="00072628" w:rsidSect="009A3608">
      <w:headerReference w:type="default" r:id="rId12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E0" w:rsidRDefault="00984AE0">
      <w:r>
        <w:separator/>
      </w:r>
    </w:p>
  </w:endnote>
  <w:endnote w:type="continuationSeparator" w:id="0">
    <w:p w:rsidR="00984AE0" w:rsidRDefault="0098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E0" w:rsidRDefault="00984AE0">
      <w:r>
        <w:separator/>
      </w:r>
    </w:p>
  </w:footnote>
  <w:footnote w:type="continuationSeparator" w:id="0">
    <w:p w:rsidR="00984AE0" w:rsidRDefault="0098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112035"/>
      <w:docPartObj>
        <w:docPartGallery w:val="Page Numbers (Top of Page)"/>
        <w:docPartUnique/>
      </w:docPartObj>
    </w:sdtPr>
    <w:sdtEndPr/>
    <w:sdtContent>
      <w:p w:rsidR="00EA1AAE" w:rsidRDefault="00984AE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88">
          <w:rPr>
            <w:noProof/>
          </w:rPr>
          <w:t>8</w:t>
        </w:r>
        <w:r>
          <w:fldChar w:fldCharType="end"/>
        </w:r>
      </w:p>
    </w:sdtContent>
  </w:sdt>
  <w:p w:rsidR="00EA1AAE" w:rsidRDefault="00984AE0">
    <w:pPr>
      <w:pStyle w:val="ae"/>
    </w:pPr>
  </w:p>
  <w:p w:rsidR="006502D8" w:rsidRDefault="00984AE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120pt;margin-top:350pt;width:400pt;height:39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margin-left:5pt;margin-top:50pt;width:25pt;height:600pt;z-index:-251657216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margin-left:15pt;margin-top:50pt;width:25pt;height:600pt;z-index:-251656192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6" type="#_x0000_t75" style="position:absolute;margin-left:570pt;margin-top:250pt;width:25pt;height:400pt;z-index:-251655168;mso-position-horizontal-relative:page;mso-position-vertical-relative:page">
          <v:imagedata r:id="rId4" o:title=""/>
          <w10:wrap anchorx="page" anchory="page"/>
        </v:shape>
      </w:pict>
    </w:r>
    <w:r>
      <w:pict>
        <v:shape id="_x0000_s3077" type="#_x0000_t75" style="position:absolute;margin-left:7pt;margin-top:750pt;width:40pt;height:40pt;z-index:-251654144;mso-position-horizontal-relative:page;mso-position-vertical-relative:page">
          <v:imagedata r:id="rId5" o:title=""/>
          <w10:wrap anchorx="page" anchory="page"/>
        </v:shape>
      </w:pict>
    </w:r>
    <w:r>
      <w:pict>
        <v:shape id="_x0000_s3078" type="#_x0000_t75" style="position:absolute;margin-left:11pt;margin-top:790pt;width:200pt;height:25pt;z-index:-251653120;mso-position-horizontal-relative:page;mso-position-vertical-relative:page">
          <v:imagedata r:id="rId6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34A"/>
    <w:multiLevelType w:val="hybridMultilevel"/>
    <w:tmpl w:val="787ED878"/>
    <w:lvl w:ilvl="0" w:tplc="BE66E426">
      <w:start w:val="1"/>
      <w:numFmt w:val="decimal"/>
      <w:lvlText w:val="%1)"/>
      <w:lvlJc w:val="left"/>
      <w:pPr>
        <w:ind w:left="1020" w:hanging="435"/>
      </w:pPr>
      <w:rPr>
        <w:rFonts w:hint="default"/>
      </w:rPr>
    </w:lvl>
    <w:lvl w:ilvl="1" w:tplc="233AD0EA" w:tentative="1">
      <w:start w:val="1"/>
      <w:numFmt w:val="lowerLetter"/>
      <w:lvlText w:val="%2."/>
      <w:lvlJc w:val="left"/>
      <w:pPr>
        <w:ind w:left="1665" w:hanging="360"/>
      </w:pPr>
    </w:lvl>
    <w:lvl w:ilvl="2" w:tplc="4EA6BF92" w:tentative="1">
      <w:start w:val="1"/>
      <w:numFmt w:val="lowerRoman"/>
      <w:lvlText w:val="%3."/>
      <w:lvlJc w:val="right"/>
      <w:pPr>
        <w:ind w:left="2385" w:hanging="180"/>
      </w:pPr>
    </w:lvl>
    <w:lvl w:ilvl="3" w:tplc="E6829BC2" w:tentative="1">
      <w:start w:val="1"/>
      <w:numFmt w:val="decimal"/>
      <w:lvlText w:val="%4."/>
      <w:lvlJc w:val="left"/>
      <w:pPr>
        <w:ind w:left="3105" w:hanging="360"/>
      </w:pPr>
    </w:lvl>
    <w:lvl w:ilvl="4" w:tplc="EE12CB54" w:tentative="1">
      <w:start w:val="1"/>
      <w:numFmt w:val="lowerLetter"/>
      <w:lvlText w:val="%5."/>
      <w:lvlJc w:val="left"/>
      <w:pPr>
        <w:ind w:left="3825" w:hanging="360"/>
      </w:pPr>
    </w:lvl>
    <w:lvl w:ilvl="5" w:tplc="E5A6C73A" w:tentative="1">
      <w:start w:val="1"/>
      <w:numFmt w:val="lowerRoman"/>
      <w:lvlText w:val="%6."/>
      <w:lvlJc w:val="right"/>
      <w:pPr>
        <w:ind w:left="4545" w:hanging="180"/>
      </w:pPr>
    </w:lvl>
    <w:lvl w:ilvl="6" w:tplc="9B127A54" w:tentative="1">
      <w:start w:val="1"/>
      <w:numFmt w:val="decimal"/>
      <w:lvlText w:val="%7."/>
      <w:lvlJc w:val="left"/>
      <w:pPr>
        <w:ind w:left="5265" w:hanging="360"/>
      </w:pPr>
    </w:lvl>
    <w:lvl w:ilvl="7" w:tplc="524A3BC4" w:tentative="1">
      <w:start w:val="1"/>
      <w:numFmt w:val="lowerLetter"/>
      <w:lvlText w:val="%8."/>
      <w:lvlJc w:val="left"/>
      <w:pPr>
        <w:ind w:left="5985" w:hanging="360"/>
      </w:pPr>
    </w:lvl>
    <w:lvl w:ilvl="8" w:tplc="1B807EC8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A2748B9"/>
    <w:multiLevelType w:val="hybridMultilevel"/>
    <w:tmpl w:val="57E214B0"/>
    <w:lvl w:ilvl="0" w:tplc="3496D840">
      <w:start w:val="1"/>
      <w:numFmt w:val="decimal"/>
      <w:lvlText w:val="%1."/>
      <w:lvlJc w:val="left"/>
      <w:pPr>
        <w:ind w:left="720" w:hanging="360"/>
      </w:pPr>
    </w:lvl>
    <w:lvl w:ilvl="1" w:tplc="CAE2F20E" w:tentative="1">
      <w:start w:val="1"/>
      <w:numFmt w:val="lowerLetter"/>
      <w:lvlText w:val="%2."/>
      <w:lvlJc w:val="left"/>
      <w:pPr>
        <w:ind w:left="1440" w:hanging="360"/>
      </w:pPr>
    </w:lvl>
    <w:lvl w:ilvl="2" w:tplc="A1E8B502" w:tentative="1">
      <w:start w:val="1"/>
      <w:numFmt w:val="lowerRoman"/>
      <w:lvlText w:val="%3."/>
      <w:lvlJc w:val="right"/>
      <w:pPr>
        <w:ind w:left="2160" w:hanging="180"/>
      </w:pPr>
    </w:lvl>
    <w:lvl w:ilvl="3" w:tplc="AC2EEC4A" w:tentative="1">
      <w:start w:val="1"/>
      <w:numFmt w:val="decimal"/>
      <w:lvlText w:val="%4."/>
      <w:lvlJc w:val="left"/>
      <w:pPr>
        <w:ind w:left="2880" w:hanging="360"/>
      </w:pPr>
    </w:lvl>
    <w:lvl w:ilvl="4" w:tplc="8B0E0D40" w:tentative="1">
      <w:start w:val="1"/>
      <w:numFmt w:val="lowerLetter"/>
      <w:lvlText w:val="%5."/>
      <w:lvlJc w:val="left"/>
      <w:pPr>
        <w:ind w:left="3600" w:hanging="360"/>
      </w:pPr>
    </w:lvl>
    <w:lvl w:ilvl="5" w:tplc="D100A576" w:tentative="1">
      <w:start w:val="1"/>
      <w:numFmt w:val="lowerRoman"/>
      <w:lvlText w:val="%6."/>
      <w:lvlJc w:val="right"/>
      <w:pPr>
        <w:ind w:left="4320" w:hanging="180"/>
      </w:pPr>
    </w:lvl>
    <w:lvl w:ilvl="6" w:tplc="42E83D98" w:tentative="1">
      <w:start w:val="1"/>
      <w:numFmt w:val="decimal"/>
      <w:lvlText w:val="%7."/>
      <w:lvlJc w:val="left"/>
      <w:pPr>
        <w:ind w:left="5040" w:hanging="360"/>
      </w:pPr>
    </w:lvl>
    <w:lvl w:ilvl="7" w:tplc="77CE9AF0" w:tentative="1">
      <w:start w:val="1"/>
      <w:numFmt w:val="lowerLetter"/>
      <w:lvlText w:val="%8."/>
      <w:lvlJc w:val="left"/>
      <w:pPr>
        <w:ind w:left="5760" w:hanging="360"/>
      </w:pPr>
    </w:lvl>
    <w:lvl w:ilvl="8" w:tplc="65D4E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C96"/>
    <w:multiLevelType w:val="multilevel"/>
    <w:tmpl w:val="93BC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B5C89"/>
    <w:multiLevelType w:val="hybridMultilevel"/>
    <w:tmpl w:val="31FA97E0"/>
    <w:lvl w:ilvl="0" w:tplc="3C42134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DD42AE2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234A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41CD82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7369DE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302D0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C2947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7AC242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E80B8E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351B24"/>
    <w:multiLevelType w:val="multilevel"/>
    <w:tmpl w:val="DA74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219BD"/>
    <w:multiLevelType w:val="hybridMultilevel"/>
    <w:tmpl w:val="BBD0AEF0"/>
    <w:lvl w:ilvl="0" w:tplc="8228DC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A48ADD9C" w:tentative="1">
      <w:start w:val="1"/>
      <w:numFmt w:val="lowerLetter"/>
      <w:lvlText w:val="%2."/>
      <w:lvlJc w:val="left"/>
      <w:pPr>
        <w:ind w:left="1788" w:hanging="360"/>
      </w:pPr>
    </w:lvl>
    <w:lvl w:ilvl="2" w:tplc="6726A3A0" w:tentative="1">
      <w:start w:val="1"/>
      <w:numFmt w:val="lowerRoman"/>
      <w:lvlText w:val="%3."/>
      <w:lvlJc w:val="right"/>
      <w:pPr>
        <w:ind w:left="2508" w:hanging="180"/>
      </w:pPr>
    </w:lvl>
    <w:lvl w:ilvl="3" w:tplc="D0C25F3A" w:tentative="1">
      <w:start w:val="1"/>
      <w:numFmt w:val="decimal"/>
      <w:lvlText w:val="%4."/>
      <w:lvlJc w:val="left"/>
      <w:pPr>
        <w:ind w:left="3228" w:hanging="360"/>
      </w:pPr>
    </w:lvl>
    <w:lvl w:ilvl="4" w:tplc="B420E5D4" w:tentative="1">
      <w:start w:val="1"/>
      <w:numFmt w:val="lowerLetter"/>
      <w:lvlText w:val="%5."/>
      <w:lvlJc w:val="left"/>
      <w:pPr>
        <w:ind w:left="3948" w:hanging="360"/>
      </w:pPr>
    </w:lvl>
    <w:lvl w:ilvl="5" w:tplc="927C2E82" w:tentative="1">
      <w:start w:val="1"/>
      <w:numFmt w:val="lowerRoman"/>
      <w:lvlText w:val="%6."/>
      <w:lvlJc w:val="right"/>
      <w:pPr>
        <w:ind w:left="4668" w:hanging="180"/>
      </w:pPr>
    </w:lvl>
    <w:lvl w:ilvl="6" w:tplc="8E921088" w:tentative="1">
      <w:start w:val="1"/>
      <w:numFmt w:val="decimal"/>
      <w:lvlText w:val="%7."/>
      <w:lvlJc w:val="left"/>
      <w:pPr>
        <w:ind w:left="5388" w:hanging="360"/>
      </w:pPr>
    </w:lvl>
    <w:lvl w:ilvl="7" w:tplc="A6FCAD18" w:tentative="1">
      <w:start w:val="1"/>
      <w:numFmt w:val="lowerLetter"/>
      <w:lvlText w:val="%8."/>
      <w:lvlJc w:val="left"/>
      <w:pPr>
        <w:ind w:left="6108" w:hanging="360"/>
      </w:pPr>
    </w:lvl>
    <w:lvl w:ilvl="8" w:tplc="1A6AD63A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9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D8"/>
    <w:rsid w:val="006502D8"/>
    <w:rsid w:val="00984AE0"/>
    <w:rsid w:val="00A6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0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7F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363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A363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autoRedefine/>
    <w:rsid w:val="007A3972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776E93"/>
    <w:pPr>
      <w:ind w:left="720"/>
      <w:contextualSpacing/>
    </w:pPr>
  </w:style>
  <w:style w:type="character" w:customStyle="1" w:styleId="NoSpacingChar">
    <w:name w:val="No Spacing Char"/>
    <w:basedOn w:val="a0"/>
    <w:link w:val="1"/>
    <w:locked/>
    <w:rsid w:val="00DE5F99"/>
    <w:rPr>
      <w:rFonts w:ascii="Calibri" w:hAnsi="Calibri"/>
    </w:rPr>
  </w:style>
  <w:style w:type="paragraph" w:customStyle="1" w:styleId="1">
    <w:name w:val="Без интервала1"/>
    <w:link w:val="NoSpacingChar"/>
    <w:rsid w:val="00DE5F99"/>
    <w:pPr>
      <w:spacing w:after="0" w:line="240" w:lineRule="auto"/>
    </w:pPr>
    <w:rPr>
      <w:rFonts w:ascii="Calibri" w:hAnsi="Calibri"/>
    </w:rPr>
  </w:style>
  <w:style w:type="paragraph" w:customStyle="1" w:styleId="a9">
    <w:name w:val="Знак"/>
    <w:basedOn w:val="a"/>
    <w:next w:val="2"/>
    <w:autoRedefine/>
    <w:rsid w:val="00A260B8"/>
    <w:pPr>
      <w:widowControl/>
      <w:autoSpaceDE/>
      <w:autoSpaceDN/>
      <w:adjustRightInd/>
      <w:spacing w:after="160" w:line="240" w:lineRule="exact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6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a">
    <w:name w:val="Знак Знак Знак"/>
    <w:basedOn w:val="a"/>
    <w:next w:val="2"/>
    <w:autoRedefine/>
    <w:rsid w:val="00A260B8"/>
    <w:pPr>
      <w:widowControl/>
      <w:autoSpaceDE/>
      <w:autoSpaceDN/>
      <w:adjustRightInd/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styleId="HTML">
    <w:name w:val="HTML Preformatted"/>
    <w:basedOn w:val="a"/>
    <w:link w:val="HTML0"/>
    <w:rsid w:val="00BB5E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B5E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E82207"/>
    <w:pPr>
      <w:widowControl/>
      <w:autoSpaceDE/>
      <w:autoSpaceDN/>
      <w:adjustRightInd/>
      <w:jc w:val="both"/>
    </w:pPr>
    <w:rPr>
      <w:rFonts w:eastAsia="Calibri"/>
      <w:sz w:val="28"/>
    </w:rPr>
  </w:style>
  <w:style w:type="character" w:customStyle="1" w:styleId="ac">
    <w:name w:val="Основной текст Знак"/>
    <w:basedOn w:val="a0"/>
    <w:link w:val="ab"/>
    <w:rsid w:val="00E8220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A10F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052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05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052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7165"/>
  </w:style>
  <w:style w:type="character" w:styleId="af2">
    <w:name w:val="Hyperlink"/>
    <w:basedOn w:val="a0"/>
    <w:uiPriority w:val="99"/>
    <w:semiHidden/>
    <w:unhideWhenUsed/>
    <w:rsid w:val="00937165"/>
    <w:rPr>
      <w:color w:val="0000FF"/>
      <w:u w:val="single"/>
    </w:rPr>
  </w:style>
  <w:style w:type="character" w:customStyle="1" w:styleId="hl">
    <w:name w:val="hl"/>
    <w:basedOn w:val="a0"/>
    <w:rsid w:val="00853002"/>
  </w:style>
  <w:style w:type="paragraph" w:styleId="af3">
    <w:name w:val="Body Text Indent"/>
    <w:basedOn w:val="a"/>
    <w:link w:val="af4"/>
    <w:uiPriority w:val="99"/>
    <w:semiHidden/>
    <w:unhideWhenUsed/>
    <w:rsid w:val="00952AA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52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6B2D2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sid w:val="006B2D2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9201B5"/>
  </w:style>
  <w:style w:type="table" w:styleId="af5">
    <w:name w:val="Table Grid"/>
    <w:basedOn w:val="a1"/>
    <w:uiPriority w:val="59"/>
    <w:rsid w:val="0000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0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7F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363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A363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autoRedefine/>
    <w:rsid w:val="007A3972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776E93"/>
    <w:pPr>
      <w:ind w:left="720"/>
      <w:contextualSpacing/>
    </w:pPr>
  </w:style>
  <w:style w:type="character" w:customStyle="1" w:styleId="NoSpacingChar">
    <w:name w:val="No Spacing Char"/>
    <w:basedOn w:val="a0"/>
    <w:link w:val="1"/>
    <w:locked/>
    <w:rsid w:val="00DE5F99"/>
    <w:rPr>
      <w:rFonts w:ascii="Calibri" w:hAnsi="Calibri"/>
    </w:rPr>
  </w:style>
  <w:style w:type="paragraph" w:customStyle="1" w:styleId="1">
    <w:name w:val="Без интервала1"/>
    <w:link w:val="NoSpacingChar"/>
    <w:rsid w:val="00DE5F99"/>
    <w:pPr>
      <w:spacing w:after="0" w:line="240" w:lineRule="auto"/>
    </w:pPr>
    <w:rPr>
      <w:rFonts w:ascii="Calibri" w:hAnsi="Calibri"/>
    </w:rPr>
  </w:style>
  <w:style w:type="paragraph" w:customStyle="1" w:styleId="a9">
    <w:name w:val="Знак"/>
    <w:basedOn w:val="a"/>
    <w:next w:val="2"/>
    <w:autoRedefine/>
    <w:rsid w:val="00A260B8"/>
    <w:pPr>
      <w:widowControl/>
      <w:autoSpaceDE/>
      <w:autoSpaceDN/>
      <w:adjustRightInd/>
      <w:spacing w:after="160" w:line="240" w:lineRule="exact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6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a">
    <w:name w:val="Знак Знак Знак"/>
    <w:basedOn w:val="a"/>
    <w:next w:val="2"/>
    <w:autoRedefine/>
    <w:rsid w:val="00A260B8"/>
    <w:pPr>
      <w:widowControl/>
      <w:autoSpaceDE/>
      <w:autoSpaceDN/>
      <w:adjustRightInd/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styleId="HTML">
    <w:name w:val="HTML Preformatted"/>
    <w:basedOn w:val="a"/>
    <w:link w:val="HTML0"/>
    <w:rsid w:val="00BB5E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B5E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E82207"/>
    <w:pPr>
      <w:widowControl/>
      <w:autoSpaceDE/>
      <w:autoSpaceDN/>
      <w:adjustRightInd/>
      <w:jc w:val="both"/>
    </w:pPr>
    <w:rPr>
      <w:rFonts w:eastAsia="Calibri"/>
      <w:sz w:val="28"/>
    </w:rPr>
  </w:style>
  <w:style w:type="character" w:customStyle="1" w:styleId="ac">
    <w:name w:val="Основной текст Знак"/>
    <w:basedOn w:val="a0"/>
    <w:link w:val="ab"/>
    <w:rsid w:val="00E8220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A10F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052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05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052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7165"/>
  </w:style>
  <w:style w:type="character" w:styleId="af2">
    <w:name w:val="Hyperlink"/>
    <w:basedOn w:val="a0"/>
    <w:uiPriority w:val="99"/>
    <w:semiHidden/>
    <w:unhideWhenUsed/>
    <w:rsid w:val="00937165"/>
    <w:rPr>
      <w:color w:val="0000FF"/>
      <w:u w:val="single"/>
    </w:rPr>
  </w:style>
  <w:style w:type="character" w:customStyle="1" w:styleId="hl">
    <w:name w:val="hl"/>
    <w:basedOn w:val="a0"/>
    <w:rsid w:val="00853002"/>
  </w:style>
  <w:style w:type="paragraph" w:styleId="af3">
    <w:name w:val="Body Text Indent"/>
    <w:basedOn w:val="a"/>
    <w:link w:val="af4"/>
    <w:uiPriority w:val="99"/>
    <w:semiHidden/>
    <w:unhideWhenUsed/>
    <w:rsid w:val="00952AA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52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6B2D2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sid w:val="006B2D2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9201B5"/>
  </w:style>
  <w:style w:type="table" w:styleId="af5">
    <w:name w:val="Table Grid"/>
    <w:basedOn w:val="a1"/>
    <w:uiPriority w:val="59"/>
    <w:rsid w:val="0000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jl:30063708.2200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buClrTx/>
              <a:buSzTx/>
              <a:buFontTx/>
              <a:buNone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 dirty="0"/>
              <a:t>Количество дел, рассмотренных с отложением от общего числа рассмотренных дел судами области,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buClrTx/>
              <a:buSzTx/>
              <a:buFontTx/>
              <a:buNone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 dirty="0"/>
              <a:t> за 2015-2016 годы</a:t>
            </a:r>
            <a:endParaRPr lang="ru-RU" dirty="0"/>
          </a:p>
        </c:rich>
      </c:tx>
      <c:layout>
        <c:manualLayout>
          <c:xMode val="edge"/>
          <c:yMode val="edge"/>
          <c:x val="0.14902247795948581"/>
          <c:y val="2.28893013087322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8492142809071942"/>
          <c:y val="0.13371721441634818"/>
          <c:w val="0.41452520358032174"/>
          <c:h val="0.84109978583965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11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0"/>
                      <a:t>31,1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0"/>
                      <a:t>26,1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0"/>
                      <a:t>25,7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0"/>
                      <a:t>25,1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b="0"/>
                      <a:t>24,4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b="0"/>
                      <a:t>23,8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b="0"/>
                      <a:t>21,6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b="0"/>
                      <a:t>21,1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 b="0"/>
                      <a:t>21,0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 b="0"/>
                      <a:t>20,7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 b="0"/>
                      <a:t>18,8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 b="0"/>
                      <a:t>17,8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 b="0"/>
                      <a:t>16,1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 b="0"/>
                      <a:t>15,1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 b="0"/>
                      <a:t>14,5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 b="0"/>
                      <a:t>12,8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en-US" b="0"/>
                      <a:t>11,3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Военные суды</c:v>
                </c:pt>
                <c:pt idx="1">
                  <c:v>Кызылординская</c:v>
                </c:pt>
                <c:pt idx="2">
                  <c:v>Атырауская </c:v>
                </c:pt>
                <c:pt idx="3">
                  <c:v>СКО</c:v>
                </c:pt>
                <c:pt idx="4">
                  <c:v>Алматинская</c:v>
                </c:pt>
                <c:pt idx="5">
                  <c:v>Жамбылская</c:v>
                </c:pt>
                <c:pt idx="6">
                  <c:v>Актюбинская</c:v>
                </c:pt>
                <c:pt idx="7">
                  <c:v>Карагандинская </c:v>
                </c:pt>
                <c:pt idx="8">
                  <c:v>г. Астана</c:v>
                </c:pt>
                <c:pt idx="9">
                  <c:v>Акмолинская </c:v>
                </c:pt>
                <c:pt idx="10">
                  <c:v>Мангистауская </c:v>
                </c:pt>
                <c:pt idx="11">
                  <c:v>Среднереспубликанский показатель</c:v>
                </c:pt>
                <c:pt idx="12">
                  <c:v>ЗКО</c:v>
                </c:pt>
                <c:pt idx="13">
                  <c:v>г. Алматы</c:v>
                </c:pt>
                <c:pt idx="14">
                  <c:v>ЮКО</c:v>
                </c:pt>
                <c:pt idx="15">
                  <c:v>Павлодарская</c:v>
                </c:pt>
                <c:pt idx="16">
                  <c:v>Костанайская</c:v>
                </c:pt>
                <c:pt idx="17">
                  <c:v>ВКО</c:v>
                </c:pt>
              </c:strCache>
            </c:strRef>
          </c:cat>
          <c:val>
            <c:numRef>
              <c:f>Лист1!$B$2:$B$19</c:f>
              <c:numCache>
                <c:formatCode>0.0</c:formatCode>
                <c:ptCount val="18"/>
                <c:pt idx="0">
                  <c:v>31.1</c:v>
                </c:pt>
                <c:pt idx="1">
                  <c:v>26.1</c:v>
                </c:pt>
                <c:pt idx="2">
                  <c:v>25.7</c:v>
                </c:pt>
                <c:pt idx="3">
                  <c:v>25.1</c:v>
                </c:pt>
                <c:pt idx="4">
                  <c:v>24.4</c:v>
                </c:pt>
                <c:pt idx="5">
                  <c:v>23.8</c:v>
                </c:pt>
                <c:pt idx="6">
                  <c:v>21.6</c:v>
                </c:pt>
                <c:pt idx="7">
                  <c:v>21.1</c:v>
                </c:pt>
                <c:pt idx="8">
                  <c:v>21</c:v>
                </c:pt>
                <c:pt idx="9">
                  <c:v>20.7</c:v>
                </c:pt>
                <c:pt idx="10">
                  <c:v>18.8</c:v>
                </c:pt>
                <c:pt idx="11">
                  <c:v>17.8</c:v>
                </c:pt>
                <c:pt idx="12">
                  <c:v>16.100000000000001</c:v>
                </c:pt>
                <c:pt idx="13">
                  <c:v>15.1</c:v>
                </c:pt>
                <c:pt idx="14">
                  <c:v>14.5</c:v>
                </c:pt>
                <c:pt idx="15">
                  <c:v>12.8</c:v>
                </c:pt>
                <c:pt idx="16">
                  <c:v>12.1</c:v>
                </c:pt>
                <c:pt idx="17">
                  <c:v>11.3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11"/>
            <c:invertIfNegative val="0"/>
            <c:bubble3D val="0"/>
          </c:dPt>
          <c:dPt>
            <c:idx val="17"/>
            <c:invertIfNegative val="0"/>
            <c:bubble3D val="0"/>
            <c:spPr>
              <a:solidFill>
                <a:srgbClr val="00CCFF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0"/>
                      <a:t>43,5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0"/>
                      <a:t>25,2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0"/>
                      <a:t>37,3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0"/>
                      <a:t>26,7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b="0"/>
                      <a:t>27,6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b="0"/>
                      <a:t>26,9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b="0"/>
                      <a:t>24,7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b="0"/>
                      <a:t>42,4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 b="0"/>
                      <a:t>37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 b="0"/>
                      <a:t>25,1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 b="0"/>
                      <a:t>24,1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 b="0"/>
                      <a:t>24,5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 b="0"/>
                      <a:t>39,5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 b="0"/>
                      <a:t>15,9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 b="0"/>
                      <a:t>13,7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 b="0"/>
                      <a:t>20,9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en-US" b="0"/>
                      <a:t>13,5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"/>
                  <c:y val="-3.7088548910523874E-3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14,6</a:t>
                    </a:r>
                    <a:r>
                      <a:rPr lang="ru-RU" b="0"/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Военные суды</c:v>
                </c:pt>
                <c:pt idx="1">
                  <c:v>Кызылординская</c:v>
                </c:pt>
                <c:pt idx="2">
                  <c:v>Атырауская </c:v>
                </c:pt>
                <c:pt idx="3">
                  <c:v>СКО</c:v>
                </c:pt>
                <c:pt idx="4">
                  <c:v>Алматинская</c:v>
                </c:pt>
                <c:pt idx="5">
                  <c:v>Жамбылская</c:v>
                </c:pt>
                <c:pt idx="6">
                  <c:v>Актюбинская</c:v>
                </c:pt>
                <c:pt idx="7">
                  <c:v>Карагандинская </c:v>
                </c:pt>
                <c:pt idx="8">
                  <c:v>г. Астана</c:v>
                </c:pt>
                <c:pt idx="9">
                  <c:v>Акмолинская </c:v>
                </c:pt>
                <c:pt idx="10">
                  <c:v>Мангистауская </c:v>
                </c:pt>
                <c:pt idx="11">
                  <c:v>Среднереспубликанский показатель</c:v>
                </c:pt>
                <c:pt idx="12">
                  <c:v>ЗКО</c:v>
                </c:pt>
                <c:pt idx="13">
                  <c:v>г. Алматы</c:v>
                </c:pt>
                <c:pt idx="14">
                  <c:v>ЮКО</c:v>
                </c:pt>
                <c:pt idx="15">
                  <c:v>Павлодарская</c:v>
                </c:pt>
                <c:pt idx="16">
                  <c:v>Костанайская</c:v>
                </c:pt>
                <c:pt idx="17">
                  <c:v>ВКО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43.5</c:v>
                </c:pt>
                <c:pt idx="1">
                  <c:v>25.2</c:v>
                </c:pt>
                <c:pt idx="2">
                  <c:v>37.299999999999997</c:v>
                </c:pt>
                <c:pt idx="3">
                  <c:v>26.7</c:v>
                </c:pt>
                <c:pt idx="4">
                  <c:v>27.6</c:v>
                </c:pt>
                <c:pt idx="5">
                  <c:v>26.9</c:v>
                </c:pt>
                <c:pt idx="6">
                  <c:v>24.7</c:v>
                </c:pt>
                <c:pt idx="7">
                  <c:v>42.4</c:v>
                </c:pt>
                <c:pt idx="8">
                  <c:v>37</c:v>
                </c:pt>
                <c:pt idx="9">
                  <c:v>25.1</c:v>
                </c:pt>
                <c:pt idx="10">
                  <c:v>24.1</c:v>
                </c:pt>
                <c:pt idx="11">
                  <c:v>24.5</c:v>
                </c:pt>
                <c:pt idx="12">
                  <c:v>39.5</c:v>
                </c:pt>
                <c:pt idx="13">
                  <c:v>15.9</c:v>
                </c:pt>
                <c:pt idx="14">
                  <c:v>13.7</c:v>
                </c:pt>
                <c:pt idx="15">
                  <c:v>20.9</c:v>
                </c:pt>
                <c:pt idx="16">
                  <c:v>13.5</c:v>
                </c:pt>
                <c:pt idx="17">
                  <c:v>14.6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8885504"/>
        <c:axId val="201864832"/>
      </c:barChart>
      <c:catAx>
        <c:axId val="188885504"/>
        <c:scaling>
          <c:orientation val="minMax"/>
        </c:scaling>
        <c:delete val="1"/>
        <c:axPos val="l"/>
        <c:majorTickMark val="out"/>
        <c:minorTickMark val="none"/>
        <c:tickLblPos val="nextTo"/>
        <c:crossAx val="201864832"/>
        <c:crosses val="autoZero"/>
        <c:auto val="1"/>
        <c:lblAlgn val="ctr"/>
        <c:lblOffset val="100"/>
        <c:noMultiLvlLbl val="0"/>
      </c:catAx>
      <c:valAx>
        <c:axId val="201864832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1888855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 b="1" i="0" baseline="0"/>
              <a:t>Количество</a:t>
            </a:r>
            <a:r>
              <a:rPr lang="ru-RU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ru-RU" sz="1400" b="1" i="0" baseline="0"/>
              <a:t>дел,</a:t>
            </a:r>
            <a:r>
              <a:rPr lang="ru-RU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ru-RU" sz="1400" b="1" i="0" baseline="0"/>
              <a:t>рассмотренных</a:t>
            </a:r>
            <a:r>
              <a:rPr lang="ru-RU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ru-RU" sz="1400" b="1" i="0" baseline="0"/>
              <a:t>с</a:t>
            </a:r>
            <a:r>
              <a:rPr lang="ru-RU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ru-RU" sz="1400" b="1" i="0" baseline="0"/>
              <a:t>отложением</a:t>
            </a:r>
            <a:r>
              <a:rPr lang="ru-RU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endParaRPr lang="ru-RU" sz="1400" b="1" i="0" baseline="0"/>
          </a:p>
          <a:p>
            <a:pPr algn="ctr">
              <a:defRPr/>
            </a:pPr>
            <a:r>
              <a:rPr lang="ru-RU" sz="1400" b="1" i="0" baseline="0"/>
              <a:t>за</a:t>
            </a:r>
            <a:r>
              <a:rPr lang="ru-RU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ru-RU" sz="1400" b="1" i="0" baseline="0"/>
              <a:t>2015-2016</a:t>
            </a:r>
            <a:r>
              <a:rPr lang="ru-RU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ru-RU" sz="1400" b="1" i="0" baseline="0"/>
              <a:t>годы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6378257286784163E-2"/>
          <c:y val="0.14511364829396325"/>
          <c:w val="0.83363311004110718"/>
          <c:h val="0.665755118110236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2016 г.</c:v>
                </c:pt>
              </c:strCache>
            </c:strRef>
          </c:tx>
          <c:spPr>
            <a:solidFill>
              <a:srgbClr val="FF0000"/>
            </a:solidFill>
            <a:ln w="9525">
              <a:solidFill>
                <a:schemeClr val="accent2">
                  <a:shade val="95000"/>
                  <a:satMod val="10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3146325459317586E-3"/>
                  <c:y val="0.246031433570803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051711035585562E-3"/>
                  <c:y val="-1.7994612354974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рассмотрено        в 1 заседании</c:v>
                </c:pt>
                <c:pt idx="1">
                  <c:v>рассмотрено        в 2 заседаниях</c:v>
                </c:pt>
                <c:pt idx="2">
                  <c:v>рассмотрено        в 3 заседаниях</c:v>
                </c:pt>
                <c:pt idx="3">
                  <c:v>рассмотрено        в 4 заседаниях</c:v>
                </c:pt>
                <c:pt idx="4">
                  <c:v>рассмотрено более чем              в 4 заседаниях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82.2</c:v>
                </c:pt>
                <c:pt idx="1">
                  <c:v>9.6</c:v>
                </c:pt>
                <c:pt idx="2">
                  <c:v>4.7</c:v>
                </c:pt>
                <c:pt idx="3">
                  <c:v>2</c:v>
                </c:pt>
                <c:pt idx="4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2015 г.</c:v>
                </c:pt>
              </c:strCache>
            </c:strRef>
          </c:tx>
          <c:spPr>
            <a:solidFill>
              <a:srgbClr val="00CCFF"/>
            </a:solidFill>
            <a:ln w="9525">
              <a:solidFill>
                <a:schemeClr val="accent1">
                  <a:shade val="95000"/>
                  <a:satMod val="10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3148148148148147E-3"/>
                  <c:y val="0.226190476190476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649626038736822E-3"/>
                  <c:y val="-2.39137020112951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рассмотрено        в 1 заседании</c:v>
                </c:pt>
                <c:pt idx="1">
                  <c:v>рассмотрено        в 2 заседаниях</c:v>
                </c:pt>
                <c:pt idx="2">
                  <c:v>рассмотрено        в 3 заседаниях</c:v>
                </c:pt>
                <c:pt idx="3">
                  <c:v>рассмотрено        в 4 заседаниях</c:v>
                </c:pt>
                <c:pt idx="4">
                  <c:v>рассмотрено более чем              в 4 заседаниях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75.5</c:v>
                </c:pt>
                <c:pt idx="1">
                  <c:v>14.5</c:v>
                </c:pt>
                <c:pt idx="2">
                  <c:v>6.4</c:v>
                </c:pt>
                <c:pt idx="3">
                  <c:v>2.2999999999999998</c:v>
                </c:pt>
                <c:pt idx="4">
                  <c:v>1.3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рассмотрено        в 1 заседании</c:v>
                </c:pt>
                <c:pt idx="1">
                  <c:v>рассмотрено        в 2 заседаниях</c:v>
                </c:pt>
                <c:pt idx="2">
                  <c:v>рассмотрено        в 3 заседаниях</c:v>
                </c:pt>
                <c:pt idx="3">
                  <c:v>рассмотрено        в 4 заседаниях</c:v>
                </c:pt>
                <c:pt idx="4">
                  <c:v>рассмотрено более чем              в 4 заседаниях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876800"/>
        <c:axId val="199647808"/>
      </c:barChart>
      <c:catAx>
        <c:axId val="188876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9647808"/>
        <c:crosses val="autoZero"/>
        <c:auto val="1"/>
        <c:lblAlgn val="ctr"/>
        <c:lblOffset val="100"/>
        <c:noMultiLvlLbl val="0"/>
      </c:catAx>
      <c:valAx>
        <c:axId val="199647808"/>
        <c:scaling>
          <c:orientation val="minMax"/>
          <c:max val="100"/>
          <c:min val="0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188876800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679C-DBF9-4A3F-880A-28BD3052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Курымбаев Багдат</dc:creator>
  <cp:lastModifiedBy>ВАКАНСИЯ</cp:lastModifiedBy>
  <cp:revision>2</cp:revision>
  <cp:lastPrinted>2017-02-22T11:06:00Z</cp:lastPrinted>
  <dcterms:created xsi:type="dcterms:W3CDTF">2017-03-14T11:30:00Z</dcterms:created>
  <dcterms:modified xsi:type="dcterms:W3CDTF">2017-03-14T11:30:00Z</dcterms:modified>
</cp:coreProperties>
</file>